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新乐长寿河北美术学院荷花池公寓外墙工程“9·8”一般高处坠落事故调查报告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来源：新乐市人民政府　新乐市·事后公示(应急)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原文链接：https://www.xinle.gov.cn/columns/5bce5998-a760-4665-a3eb-58b748e49bac/202603/17/4347ab5d-8778-485a-82ef-ace28cd63af9.html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无障碍
      <w:r>
        <w:drawing>
          <wp:inline distT="0" distB="0" distL="0" distR="0">
            <wp:extent cx="1905000" cy="190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适老模式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新乐市人民政府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