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两江童家溪重庆赛鑫工贸有限公司“8•1”一般厂内车辆致害事故调查报告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原文链接：https://www.ljxq.gov.cn/bm/qyjglj/zwgk/zfxxgkml/jczwgk/aqsclyxxgk/xzgl/jdjc/202610/t20261009_16204546.html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发布时间：2026-10-09　抓取时间：2026-10-09</w:t>
      </w:r>
    </w:p>
    <w:p/>
    <w:p>
      <w:pPr>
        <w:spacing w:line="360" w:lineRule="auto" w:before="60" w:after="60"/>
        <w:ind w:firstLine="480"/>
      </w:pPr>
      <w:r>
        <w:t xml:space="preserve"> 两江童家溪重庆赛鑫工贸有限公司“8•1”一般厂内车辆致害事故调查报告 </w:t>
      </w:r>
    </w:p>
    <w:p>
      <w:pPr>
        <w:spacing w:line="360" w:lineRule="auto" w:before="60" w:after="60"/>
        <w:ind w:firstLine="480"/>
      </w:pPr>
      <w:r>
        <w:t xml:space="preserve"> 日期：2026-10-09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2026年8月1日17时左右，在两江新区童家溪镇重庆赛鑫工贸有限公司厂区内，该公司车辆渝ABU7531轻型厢式货车在倒车过程中，造成1人死亡，直接经济损失约112万元。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和《重庆市安全生产条例》的相关规定，经区政府授权，成立了由区应急管理局牵头，区政府办公室、区公安分局、北碚区公安分局、区总工会、区经济信息委、童家溪镇等单位派员参加的两江童家溪重庆赛鑫工贸有限公司“8·1”一般厂内车辆致害事故调查组（以下简称事故调查组），同时，邀请区纪委监委机关、区检察院参加事故调查工作。事故调查组经过现场勘查、调查取证，查明了事故原因，认定了事故性质，提出了对事故责任单位及责任人的处理意见和事故防范措施建议。</w:t>
      </w:r>
    </w:p>
    <w:p>
      <w:pPr>
        <w:spacing w:line="360" w:lineRule="auto" w:before="60" w:after="60"/>
        <w:ind w:firstLine="480"/>
      </w:pPr>
      <w:r>
        <w:t xml:space="preserve">事故调查组认定，两江童家溪重庆赛鑫工贸有限公司“8·1”一般厂内车辆致害事故是一起因驾驶员未按照操作规范安全驾驶、文明驾驶，行人未按规定路线行走，企业管理不到位造成的一般生产安全责任事故。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