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抚顺新钢铁有限责任公司“7·19” 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原文链接：https://yjglj.fushun.gov.cn/002/002003/20251128/91dfd8e4-a045-48bd-a3f1-565a111b1359.html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发布时间：2025-11-28　抓取时间：2026-10-09</w:t>
      </w:r>
    </w:p>
    <w:p/>
    <w:p>
      <w:pPr>
        <w:pStyle w:val="Heading3"/>
      </w:pPr>
      <w:r>
        <w:t xml:space="preserve">抚顺新钢铁有限责任公司“7·19” 一般灼烫事故调查报告</w:t>
      </w:r>
    </w:p>
    <w:p>
      <w:pPr>
        <w:spacing w:line="360" w:lineRule="auto" w:before="60" w:after="60"/>
        <w:ind w:firstLine="480"/>
      </w:pPr>
      <w:r>
        <w:t xml:space="preserve"> 【信息来源：执法科 信息时间：2025-11-28 阅读次数：】 【我要打印】 【关闭】 </w:t>
      </w:r>
    </w:p>
    <w:p>
      <w:pPr>
        <w:spacing w:line="360" w:lineRule="auto" w:before="60" w:after="60"/>
        <w:ind w:firstLine="480"/>
      </w:pPr>
      <w:r>
        <w:t xml:space="preserve">抚顺新钢铁有限责任公司“7·19”一般灼烫事-公示.doc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