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鹤山市鹤港货运合营有限公司“3·19”特种设备一般事故调查报告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来源：江门市应急管理局　江门市·事故调查报告（搜索直采）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原文链接：http://www.jiangmen.gov.cn/bmpd/jmsscjdglj/zwdt/tzgg/content/post_3331672.html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发布时间：2025-07-15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江门市政府门户网站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繁体</w:t>
      </w:r>
    </w:p>
    <w:p>
      <w:pPr>
        <w:spacing w:line="360" w:lineRule="auto" w:before="60" w:after="60"/>
        <w:ind w:firstLine="480"/>
      </w:pPr>
      • 政务微博  
      <w:r>
        <w:drawing>
          <wp:inline distT="0" distB="0" distL="0" distR="0">
            <wp:extent cx="2438400" cy="24384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网站支持IPv6</w:t>
      </w:r>
    </w:p>
    <w:p>
      <w:pPr>
        <w:spacing w:before="20" w:after="20"/>
      </w:pPr>
      <w:r>
        <w:rPr>
          <w:color w:val="888888"/>
          <w:sz w:val="18"/>
        </w:rPr>
        <w:t xml:space="preserve">［图片：关怀版］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