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清城石角“10·2”一般其他伤害事故调查报告.docx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原文链接：http://www.qingcheng.gov.cn/qyqcyjgl/gkmlpt/content/2/2133/post_2133290.html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发布时间：2026-04-02　抓取时间：2026-10-08</w:t>
      </w:r>
    </w:p>
    <w:p/>
    <w:p>
      <w:pPr>
        <w:pStyle w:val="Heading1"/>
      </w:pPr>
      <w:r>
        <w:t xml:space="preserve">清城石角“10·2”一般其他伤害事故调查报告</w:t>
      </w:r>
    </w:p>
    <w:p>
      <w:pPr>
        <w:spacing w:line="360" w:lineRule="auto" w:before="60" w:after="60"/>
        <w:ind w:firstLine="480"/>
      </w:pPr>
      <w:r>
        <w:t xml:space="preserve"> 发布日期：2026-04-02 浏览次数：- </w:t>
      </w:r>
    </w:p>
    <w:p>
      <w:pPr>
        <w:spacing w:line="360" w:lineRule="auto" w:before="60" w:after="60"/>
        <w:ind w:firstLine="480"/>
      </w:pPr>
      <w:r>
        <w:t xml:space="preserve">清城石角“10·2”一般其他伤害事故调查报告.docx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