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金湾南水长成新能股份有限公司“10·11”一般高处坠落事故调查报告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来源：金湾区应急管理局　金湾区·事故调查报告（搜索直采）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原文链接：https://www.jinwan.gov.cn/jinwan/zwgk/zdlyxxgk/aqscsgxxgk/scaqsgdcbg/content/post_3887920.html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发布时间：2023-12-25　抓取时间：2026-10-16　正文含图，已嵌入原图</w:t>
      </w:r>
    </w:p>
    <w:p/>
    <w:p>
      <w:pPr>
        <w:spacing w:line="360" w:lineRule="auto" w:before="60" w:after="60"/>
        <w:ind w:firstLine="480"/>
      </w:pPr>
      •     
      <w:r>
        <w:drawing>
          <wp:inline distT="0" distB="0" distL="0" distR="0">
            <wp:extent cx="1333500" cy="1619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  
      <w:r>
        <w:drawing>
          <wp:inline distT="0" distB="0" distL="0" distR="0">
            <wp:extent cx="1333500" cy="160972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  
      <w:r>
        <w:drawing>
          <wp:inline distT="0" distB="0" distL="0" distR="0">
            <wp:extent cx="1190625" cy="1190625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png"/></Relationships>
</file>