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关于《某某装饰有限公司“10.26”一般物体打击事故案调查报告》的补充材料</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原文链接：https://www.qiaokou.gov.cn/xxgk/jbxxgk/gysyjs/aqsc/202512/t20251229_2704099.shtml</w:t>
      </w:r>
    </w:p>
    <w:p>
      <w:pPr>
        <w:spacing w:before="20" w:after="20"/>
      </w:pPr>
      <w:r>
        <w:rPr>
          <w:color w:val="888888"/>
          <w:sz w:val="18"/>
        </w:rPr>
        <w:t xml:space="preserve">发布时间：2025-12-29　抓取时间：2026-10-07</w:t>
      </w:r>
    </w:p>
    <w:p/>
    <w:p>
      <w:pPr>
        <w:pStyle w:val="Heading2"/>
      </w:pPr>
      <w:r>
        <w:t xml:space="preserve">关于《某某装饰有限公司“10.26”一般物体打击事故案调查报告》的补充材料</w:t>
      </w:r>
    </w:p>
    <w:p>
      <w:pPr>
        <w:spacing w:line="360" w:lineRule="auto" w:before="60" w:after="60"/>
        <w:ind w:firstLine="480"/>
      </w:pPr>
      <w:r>
        <w:t xml:space="preserve">  发布时间：2025-12-29 17:30  </w:t>
      </w:r>
    </w:p>
    <w:p>
      <w:pPr>
        <w:spacing w:line="360" w:lineRule="auto" w:before="60" w:after="60"/>
        <w:ind w:firstLine="480"/>
      </w:pPr>
      <w:r>
        <w:t xml:space="preserve">2025年12月18日，《某某装饰有限公司“10·26”一般物体打击事故案调查报告》依法在硚口区人民政府官网公示。2025年12月22日，公司法定代表人孙某某提交了事故当日隔墙倒塌前的现场照片等新证据。经核查，新证据客观真实。现根据《中华人民共和国政府信息公开条例》第四十一条及《生产安全事故报告和调查处理条例》第四条之规定，补充完善材料如下：</w:t>
      </w:r>
    </w:p>
    <w:p>
      <w:pPr>
        <w:spacing w:line="360" w:lineRule="auto" w:before="60" w:after="60"/>
        <w:ind w:firstLine="480"/>
      </w:pPr>
      <w:r>
        <w:t xml:space="preserve">补充位置一：《某某装饰有限公司“10·26”一般物体打击事故案调查报告》第3页“（一）事故发生经过和救援情况”。原表述：“隔墙仅完成局部拆除，剩余隔墙段顶部与上部结构脱离呈悬空状态，高度约3米、宽度约1.2米、厚度0.16米”。补充为：“隔墙仅完成局部拆除，剩余隔墙高度约2.8米、宽度约1.2米、厚度0.16米”。原表述：“11时30分左右，铲车在装载垃圾时，隔墙突然倒塌，将正在清理场地的胡某某埋压”。补充为：“8时30分，朱某某（铲车实际控制人）和4名临时建筑垃圾拖运人员陆续抵达现场，随即开展垃圾装载作业。11时30分，垃圾拖运人员沈某驾驶铲车进行装载垃圾过程中，发现剩余隔墙出现晃动，立即鸣笛警示，隔墙随即发生倒塌，将正在现场清理作业的胡某某埋压”。</w:t>
      </w:r>
    </w:p>
    <w:p>
      <w:pPr>
        <w:spacing w:line="360" w:lineRule="auto" w:before="60" w:after="60"/>
        <w:ind w:firstLine="480"/>
      </w:pPr>
      <w:r>
        <w:t xml:space="preserve">补充位置二：《某某装饰有限公司“10·26”一般物体打击事故案调查报告》第2页补充内容“（六）轮胎式装载机情况”，装载机车主朱某某（私人购买），装载机名称：轮胎式装载机；制造商：徐工集团工程机械股份有限公司；产品型号：LM160FVSUPFR；发动机功率：54.5kW；最高设计车速：20KM/h；制造年度：2022年；额定工作载荷：1100kg；外型尺寸（长×宽×高）：5950×2060×2160mm。</w:t>
      </w:r>
    </w:p>
    <w:p>
      <w:pPr>
        <w:spacing w:line="360" w:lineRule="auto" w:before="60" w:after="60"/>
        <w:ind w:firstLine="480"/>
      </w:pPr>
      <w:r>
        <w:t xml:space="preserve">联系电话：027-83426292</w:t>
      </w:r>
    </w:p>
    <w:p>
      <w:pPr>
        <w:spacing w:line="360" w:lineRule="auto" w:before="60" w:after="60"/>
        <w:ind w:firstLine="480"/>
      </w:pPr>
      <w:r>
        <w:t xml:space="preserve">通讯地址：武汉市硚口区古田三路2号</w:t>
      </w: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