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关于印发《宿州高新区数智云创E2栋办公楼装饰工程“2022.10.20”高坠事故防范和整改措施落实情况评估报告》的通知</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原文链接：https://safety.ahsz.gov.cn/public/2655629/195220671.html</w:t>
      </w:r>
    </w:p>
    <w:p>
      <w:pPr>
        <w:spacing w:before="20" w:after="20"/>
      </w:pPr>
      <w:r>
        <w:rPr>
          <w:color w:val="888888"/>
          <w:sz w:val="18"/>
        </w:rPr>
        <w:t xml:space="preserve">发布时间：2024-04-26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760803383/202404-00008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2024-04-26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2024-04-26 16:49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关于印发《宿州高新区数智云创E2栋办公楼装饰工程“2022.10.20”高坠事故防范和整改措施落实情况评估报告》的通知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760803383/202404-00008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通知,医疗、气象、应急,安全生产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2024-04-26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2024-04-26 16:49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关于印发《宿州高新区数智云创E2栋办公楼装饰工程“2022.10.20”高坠事故防范和整改措施落实情况评估报告》的通知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760803383/202404-00008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2024-04-26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2024-04-26 16:49</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关于印发《宿州高新区数智云创E2栋办公楼装饰工程“2022.10.20”高坠事故防范和整改措施落实情况评估报告》的通知</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关于印发《宿州高新区数智云创E2栋办公楼装饰工程“2022.10.20”高坠事故防范和整改措施落实情况评估报告》的通知 </w:t>
      </w:r>
    </w:p>
    <w:p>
      <w:pPr>
        <w:spacing w:line="360" w:lineRule="auto" w:before="60" w:after="60"/>
        <w:ind w:firstLine="480"/>
      </w:pPr>
      <w:r>
        <w:t xml:space="preserve">来源：宿州市应急管理局 浏览量： 发表时间：2024-04-26 16:49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市高新区管委会：</w:t>
      </w:r>
    </w:p>
    <w:p>
      <w:pPr>
        <w:spacing w:line="360" w:lineRule="auto" w:before="60" w:after="60"/>
        <w:ind w:firstLine="480"/>
      </w:pPr>
      <w:r>
        <w:t xml:space="preserve">现将《宿州高新区数智云创E2栋办公楼装饰工程“2022.10.20”高坠事故防范和整改措施落实情况评估报告》印发给你们，请对照评估报告中的“存在问题清单”，认真督促整改，并于7月31日前将整改落实情况书面报送至市安委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宿州市安全生产委员会办公室</w:t>
      </w:r>
    </w:p>
    <w:p>
      <w:pPr>
        <w:spacing w:line="360" w:lineRule="auto" w:before="60" w:after="60"/>
        <w:ind w:firstLine="480"/>
      </w:pPr>
      <w:r>
        <w:t xml:space="preserve"> 2024年4月26日</w:t>
      </w:r>
    </w:p>
    <w:p>
      <w:pPr>
        <w:spacing w:line="360" w:lineRule="auto" w:before="60" w:after="60"/>
        <w:ind w:firstLine="480"/>
      </w:pPr>
      <w:r>
        <w:t xml:space="preserve"> </w:t>
      </w:r>
    </w:p>
    <w:p>
      <w:pPr>
        <w:pStyle w:val="Heading1"/>
      </w:pPr>
      <w:r>
        <w:t xml:space="preserve">宿州高新区数智云创E2栋办公楼装饰工程“2022.10.20”高坠事故防范和整改措施落实情况评估报告</w:t>
      </w:r>
    </w:p>
    <w:p>
      <w:pPr>
        <w:spacing w:line="360" w:lineRule="auto" w:before="60" w:after="60"/>
        <w:ind w:firstLine="480"/>
      </w:pPr>
      <w:r>
        <w:t xml:space="preserve">评估工作组</w:t>
      </w:r>
    </w:p>
    <w:p>
      <w:pPr>
        <w:spacing w:line="360" w:lineRule="auto" w:before="60" w:after="60"/>
        <w:ind w:firstLine="480"/>
      </w:pPr>
      <w:r>
        <w:t xml:space="preserve"> </w:t>
      </w:r>
    </w:p>
    <w:p>
      <w:pPr>
        <w:spacing w:line="360" w:lineRule="auto" w:before="60" w:after="60"/>
        <w:ind w:firstLine="480"/>
      </w:pPr>
      <w:r>
        <w:t xml:space="preserve">2022年10月20日，宿州市高新区数智云创产业园安徽呈顶网络科技有限公司办公楼装饰工程发生一起高处坠落事故，1人死亡。事故发生后，市政府组织开展了事故调查。2023年5月7日，事故调查报告经市政府批复同意。根据《安徽省生产安全事故防范和整改措施落实情况评估办法》（皖安办〔2021〕64号），宿州高新区数智云创E2栋办公楼装饰工程“2022.10.20”高坠事故防范和整改措施落实情况评估工作组（以下简称“评估工作组”）对事故防范和整改措施落实情况进行了评估。</w:t>
      </w:r>
    </w:p>
    <w:p>
      <w:pPr>
        <w:spacing w:line="360" w:lineRule="auto" w:before="60" w:after="60"/>
        <w:ind w:firstLine="480"/>
      </w:pPr>
      <w:r>
        <w:t xml:space="preserve">一、评估工作过程</w:t>
      </w:r>
    </w:p>
    <w:p>
      <w:pPr>
        <w:spacing w:line="360" w:lineRule="auto" w:before="60" w:after="60"/>
        <w:ind w:firstLine="480"/>
      </w:pPr>
      <w:r>
        <w:t xml:space="preserve">2024年3月1日，市安委办下发《关于组织开展宿州高新区数智云创E2栋办公楼装饰工程“2022.10.20”高坠事故防范和整改措施落实情况评估工作的通知》，成立由市应急管理局牵头，市住建局、市纪委有关人员组成的评估工作组。依据《宿州高新区数智云创E2栋办公楼装饰工程“2022.10.20”高坠事故调查报告》（以下简称《事故调查报告》）和《宿州市人民政府关于宿州高新区数智云创E2栋办公楼装饰工程“2022.10.20”高坠事故有关情况的批复》（宿政秘〔2023〕27号，以下简称《批复》），在市高新区管委会及相关单位自评的基础上，4月9日-10日，评估工作组采取资料审查、座谈问询、查阅文件、走访核查等方式，对市高新区管委会及相关部门事故责任追究落实情况、整改措施落实情况进行深入评估，形成评估报告。</w:t>
      </w:r>
    </w:p>
    <w:p>
      <w:pPr>
        <w:spacing w:line="360" w:lineRule="auto" w:before="60" w:after="60"/>
        <w:ind w:firstLine="480"/>
      </w:pPr>
      <w:r>
        <w:t xml:space="preserve">二、事故防范和整改措施落实情况</w:t>
      </w:r>
    </w:p>
    <w:p>
      <w:pPr>
        <w:spacing w:line="360" w:lineRule="auto" w:before="60" w:after="60"/>
        <w:ind w:firstLine="480"/>
      </w:pPr>
      <w:r>
        <w:t xml:space="preserve">（一）事故责任人员和单位责任追究落实情况。</w:t>
      </w:r>
    </w:p>
    <w:p>
      <w:pPr>
        <w:spacing w:line="360" w:lineRule="auto" w:before="60" w:after="60"/>
        <w:ind w:firstLine="480"/>
      </w:pPr>
      <w:r>
        <w:t xml:space="preserve">1.汪某，合肥宏庭装饰工程有限公司法人代表。由宿州市应急局对其处上一年度年收入百分之四十的罚款。2023年6月14日，罚款全部缴纳。</w:t>
      </w:r>
    </w:p>
    <w:p>
      <w:pPr>
        <w:spacing w:line="360" w:lineRule="auto" w:before="60" w:after="60"/>
        <w:ind w:firstLine="480"/>
      </w:pPr>
      <w:r>
        <w:t xml:space="preserve">2.周某友，合肥宏庭装饰工程有限公司数智云创E2-4楼栋装饰项目负责人、安全管理人员。由宿州市应急局对其处上一年度年收入百分之二十的罚款。2023年6月14日，罚款全部缴纳。</w:t>
      </w:r>
    </w:p>
    <w:p>
      <w:pPr>
        <w:spacing w:line="360" w:lineRule="auto" w:before="60" w:after="60"/>
        <w:ind w:firstLine="480"/>
      </w:pPr>
      <w:r>
        <w:t xml:space="preserve">3.李某，安徽呈顶网络科技有限公司总经理。由宿州市应急局对其处上一年度年收入百分之四十的罚款。2023年8月10日，罚款全部缴纳。</w:t>
      </w:r>
    </w:p>
    <w:p>
      <w:pPr>
        <w:spacing w:line="360" w:lineRule="auto" w:before="60" w:after="60"/>
        <w:ind w:firstLine="480"/>
      </w:pPr>
      <w:r>
        <w:t xml:space="preserve">4.周某露，安徽呈顶网络科技有限公司E2-4楼栋装饰项目负责人。由宿州市应急局对其处上一年度年收入百分之二十的罚款。罚款暂未落实。</w:t>
      </w:r>
    </w:p>
    <w:p>
      <w:pPr>
        <w:spacing w:line="360" w:lineRule="auto" w:before="60" w:after="60"/>
        <w:ind w:firstLine="480"/>
      </w:pPr>
      <w:r>
        <w:t xml:space="preserve">5.合肥宏庭装饰工程有限公司，由宿州市应急局对其处三十五万元的罚款。罚款暂未落实。</w:t>
      </w:r>
    </w:p>
    <w:p>
      <w:pPr>
        <w:spacing w:line="360" w:lineRule="auto" w:before="60" w:after="60"/>
        <w:ind w:firstLine="480"/>
      </w:pPr>
      <w:r>
        <w:t xml:space="preserve">6.安徽呈顶网络科技有限公司，由宿州市应急局对其处三十一万元的罚款。罚款暂未落实。</w:t>
      </w:r>
    </w:p>
    <w:p>
      <w:pPr>
        <w:spacing w:line="360" w:lineRule="auto" w:before="60" w:after="60"/>
        <w:ind w:firstLine="480"/>
      </w:pPr>
      <w:r>
        <w:t xml:space="preserve">7.市高新区规划建设局向市高新区管委会作出深刻书面检查。市高新区规划建设局已向市高新区管委会作书面检查。</w:t>
      </w:r>
    </w:p>
    <w:p>
      <w:pPr>
        <w:spacing w:line="360" w:lineRule="auto" w:before="60" w:after="60"/>
        <w:ind w:firstLine="480"/>
      </w:pPr>
      <w:r>
        <w:t xml:space="preserve">（二）事故防范和整改措施落实情况</w:t>
      </w:r>
    </w:p>
    <w:p>
      <w:pPr>
        <w:spacing w:line="360" w:lineRule="auto" w:before="60" w:after="60"/>
        <w:ind w:firstLine="480"/>
      </w:pPr>
      <w:r>
        <w:t xml:space="preserve">事故发生后，市高新区管委会及各相关单位按照《批复》要求，积极落实整改措施。</w:t>
      </w:r>
    </w:p>
    <w:p>
      <w:pPr>
        <w:spacing w:line="360" w:lineRule="auto" w:before="60" w:after="60"/>
        <w:ind w:firstLine="480"/>
      </w:pPr>
      <w:r>
        <w:rPr>
          <w:b/>
          <w:bCs/>
        </w:rPr>
        <w:t xml:space="preserve">1.</w:t>
      </w:r>
      <w:r>
        <w:rPr>
          <w:b/>
          <w:bCs/>
        </w:rPr>
        <w:t xml:space="preserve">强化安全生产意识。</w:t>
      </w:r>
      召开园区安委会成员单位联席会议，开展事故警示案例教育，部署安全生产重点工作。要求各地各部门把安全发展理念贯彻到各项工作，有效化解各类风险隐患，牢牢守住安全生产红线。2023年至今，市高新区未发生生产安全事故，安全生产形势稳定。
    </w:p>
    <w:p>
      <w:pPr>
        <w:spacing w:line="360" w:lineRule="auto" w:before="60" w:after="60"/>
        <w:ind w:firstLine="480"/>
      </w:pPr>
      <w:r>
        <w:rPr>
          <w:b/>
          <w:bCs/>
        </w:rPr>
        <w:t xml:space="preserve">2.</w:t>
      </w:r>
      <w:r>
        <w:rPr>
          <w:b/>
          <w:bCs/>
        </w:rPr>
        <w:t xml:space="preserve">强化隐患排查整治。</w:t>
      </w:r>
      认真吸取事故教训，深入开展安全隐患排查整治，打击违法施工与违章作业行为，深入开展重大事故隐患专项排查整治2023行动、“强基础、补短板、铸安提质年”活动及治本攻坚三年行动，持续抓好化工、城镇燃气、消防、建筑施工、特种设备、工贸、有限空间作业等重点行业领域风险防范。2024年以来，检查企业67家次，治理重大隐患7条，行政处罚20次，罚款25.48万元。
    </w:p>
    <w:p>
      <w:pPr>
        <w:spacing w:line="360" w:lineRule="auto" w:before="60" w:after="60"/>
        <w:ind w:firstLine="480"/>
      </w:pPr>
      <w:r>
        <w:rPr>
          <w:b/>
          <w:bCs/>
        </w:rPr>
        <w:t xml:space="preserve">3.强化安全宣传教育。</w:t>
      </w:r>
      高度重视安全生产宣传工作，将安全生产工作纳入党工委理论学习、中心组学习，及时学习传达习近平总书记关于安全生产重要指示批示精神。同时利用条幅、宣传页、微信群等广泛开展安全“五进”活动。2024年以来，市高新区组织开展生产经营单位主要负责人安全教育培训7次、165人，开展生产经营单位从业人员安全技能培训8次、909人，聚焦“人人讲安全、个个会应急”开展安全宣传50次。
    </w:p>
    <w:p>
      <w:pPr>
        <w:spacing w:line="360" w:lineRule="auto" w:before="60" w:after="60"/>
        <w:ind w:firstLine="480"/>
      </w:pPr>
      <w:r>
        <w:t xml:space="preserve">三、总体评估意见</w:t>
      </w:r>
    </w:p>
    <w:p>
      <w:pPr>
        <w:spacing w:line="360" w:lineRule="auto" w:before="60" w:after="60"/>
        <w:ind w:firstLine="480"/>
      </w:pPr>
      <w:r>
        <w:t xml:space="preserve">从事故防范和整改措施落实总体情况看，认为市高新区管委会及相关单位能认真吸取此次事故教训，按《事故调查报告》和《批复》要求，认真落实对有关事故责任人和责任单位处理意见，加强事故防范，整改措施有力有效，安全生产形势持续稳定。但仍存在一些问题，一是合肥宏庭装饰工程有限公司、安徽呈顶网络科技有限公司行政处罚未落实；二是治本攻坚三年行动开展过程中，仍有7家安委会成员单位重大事故隐患零排查；三是安全宣传教育不深入，截至目前，只开展1次重大事故隐患判定标准提升行动宣贯。</w:t>
      </w:r>
    </w:p>
    <w:p>
      <w:pPr>
        <w:spacing w:line="360" w:lineRule="auto" w:before="60" w:after="60"/>
        <w:ind w:firstLine="480"/>
      </w:pPr>
      <w:r>
        <w:t xml:space="preserve">四、相关工作建议</w:t>
      </w:r>
    </w:p>
    <w:p>
      <w:pPr>
        <w:spacing w:line="360" w:lineRule="auto" w:before="60" w:after="60"/>
        <w:ind w:firstLine="480"/>
      </w:pPr>
      <w:r>
        <w:t xml:space="preserve">（一）市高新区管委会及相关单位要深刻吸取事故教训，深入分析导致事故发生的深层次原因，进一步完善安全监管体制机制，不断提升安全治理能力与水平。同时，要深入开展安全生产治本攻坚三年行动，强化隐患排查整治，确保安全生产形势持续稳定。</w:t>
      </w:r>
    </w:p>
    <w:p>
      <w:pPr>
        <w:spacing w:line="360" w:lineRule="auto" w:before="60" w:after="60"/>
        <w:ind w:firstLine="480"/>
      </w:pPr>
      <w:r>
        <w:t xml:space="preserve">（二）市高新区管委会及园区应急局、规划建设局要按照“三管三必须”要求，督促企业落实安全生产主体责任，加强安全生产监督执法，严厉查处生产经营过程中各类违法违规行为。</w:t>
      </w:r>
    </w:p>
    <w:p>
      <w:pPr>
        <w:spacing w:line="360" w:lineRule="auto" w:before="60" w:after="60"/>
        <w:ind w:firstLine="480"/>
      </w:pPr>
      <w:r>
        <w:t xml:space="preserve">（三）市高新区管委会要用好“案例教育法”, 充分利用广播、电视、网络、报刊等新闻媒体的舆论宣传和监督作用，加大对治本攻坚三年行动的宣传力度，鼓励社会广大群众和企业职工监督举报各类安全隐患。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