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广东韶钢松山股份有限公司“2.9”高温灼烫一般事故调查报告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原文链接：https://www.sg.gov.cn/bmpdlm/yjglj/ywgz/content/post_1829595.html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发布时间：2018-06-05　抓取时间：2026-10-07</w:t>
      </w:r>
    </w:p>
    <w:p/>
    <w:p>
      <w:pPr>
        <w:pStyle w:val="Heading1"/>
      </w:pPr>
      <w:r>
        <w:t xml:space="preserve">广东韶钢松山股份有限公司“2.9”高温灼烫一般事故调查报告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2018-06-05 10:26:00</w:t>
      </w:r>
       来源：
      <w:r>
        <w:rPr>
          <w:b/>
          <w:bCs/>
        </w:rPr>
        <w:t xml:space="preserve">法规防控科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C:fakepath2.9报告（PDF版）.pdf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