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南京市落实“三警”机制典型案例</w:t>
      </w:r>
    </w:p>
    <w:p>
      <w:pPr>
        <w:spacing w:before="20" w:after="20"/>
      </w:pPr>
      <w:r>
        <w:rPr>
          <w:color w:val="888888"/>
          <w:sz w:val="18"/>
        </w:rPr>
        <w:t xml:space="preserve">来源：南京市应急管理局　南京市应急管理局·事故调查</w:t>
      </w:r>
    </w:p>
    <w:p>
      <w:pPr>
        <w:spacing w:before="20" w:after="20"/>
      </w:pPr>
      <w:r>
        <w:rPr>
          <w:color w:val="888888"/>
          <w:sz w:val="18"/>
        </w:rPr>
        <w:t xml:space="preserve">原文链接：https://safety.nanjing.gov.cn/njsaqscjdglj/202609/t20260903_5905078.html</w:t>
      </w:r>
    </w:p>
    <w:p>
      <w:pPr>
        <w:spacing w:before="20" w:after="20"/>
      </w:pPr>
      <w:r>
        <w:rPr>
          <w:color w:val="888888"/>
          <w:sz w:val="18"/>
        </w:rPr>
        <w:t xml:space="preserve">发布时间：2026-08-26　抓取时间：2026-10-07</w:t>
      </w:r>
    </w:p>
    <w:p/>
    <w:p>
      <w:pPr>
        <w:spacing w:line="360" w:lineRule="auto" w:before="60" w:after="60"/>
        <w:ind w:firstLine="480"/>
      </w:pPr>
      <w:r>
        <w:t xml:space="preserve">南京市落实“三警”机制典型案例</w:t>
      </w:r>
    </w:p>
    <w:p>
      <w:pPr>
        <w:spacing w:line="360" w:lineRule="auto" w:before="60" w:after="60"/>
        <w:ind w:firstLine="480"/>
      </w:pPr>
      <w:r>
        <w:t xml:space="preserve">全省安全生产“三警”建设工作部署以来，市各相关部门深化类比排查整治，积极探索创新，狠抓推进落实，取得积极成效。为发挥典型案例示范引领作用，推动排查整治走深走实，有效防范同类事故反复发生，现将一批典型案例予以公布，供学习借鉴。</w:t>
      </w:r>
    </w:p>
    <w:p>
      <w:pPr>
        <w:spacing w:line="360" w:lineRule="auto" w:before="60" w:after="60"/>
        <w:ind w:firstLine="480"/>
      </w:pPr>
      <w:r>
        <w:rPr>
          <w:b/>
          <w:bCs/>
        </w:rPr>
        <w:t xml:space="preserve">案例一</w:t>
      </w:r>
    </w:p>
    <w:p>
      <w:pPr>
        <w:spacing w:line="360" w:lineRule="auto" w:before="60" w:after="60"/>
        <w:ind w:firstLine="480"/>
      </w:pPr>
      <w:r>
        <w:t xml:space="preserve">2026年2月3日，某地一纺织公司发生一起较大有限空间中毒窒息事故，造成4人死亡、3人受伤。经调查，事故直接原因为污水池内高浓度硫化氢积聚，作业人员违规进入中毒晕倒；间接原因为企业隐患排查治理不到位、安全培训及现场管理流于形式，企业主体责任不落实。</w:t>
      </w:r>
    </w:p>
    <w:p>
      <w:pPr>
        <w:spacing w:line="360" w:lineRule="auto" w:before="60" w:after="60"/>
        <w:ind w:firstLine="480"/>
      </w:pPr>
      <w:r>
        <w:t xml:space="preserve">南京市、鼓楼区应急管理部门深刻吸取事故教训，迅速启动“三警”机制，督促涉有限空间作业企业开展事故类比排查。南京汽轮电机（集团）有限责任公司主要负责人带队逐一辨识污水池、集水井、调节池等有限空间风险，并核查作业审批、气体检测、通风防护及应急救援装备情况。针对自查发现的问题，企业立即组织开展专项培训，剖析违规行为的严重后果，并围绕有限空间作业安全规程、气体检测仪及空气呼吸器使用等内容，分批开展实操培训，进一步提升从业人员风险辨识与自救互救能力，有效防范因设备隐患、监护缺失等引发有限空间事故。</w:t>
      </w:r>
    </w:p>
    <w:p>
      <w:pPr>
        <w:spacing w:line="360" w:lineRule="auto" w:before="60" w:after="60"/>
        <w:ind w:firstLine="480"/>
      </w:pPr>
      <w:r>
        <w:rPr>
          <w:b/>
          <w:bCs/>
        </w:rPr>
        <w:t xml:space="preserve">案例二</w:t>
      </w:r>
    </w:p>
    <w:p>
      <w:pPr>
        <w:spacing w:line="360" w:lineRule="auto" w:before="60" w:after="60"/>
        <w:ind w:firstLine="480"/>
      </w:pPr>
      <w:r>
        <w:t xml:space="preserve">2026年3月18日，某市地铁线路发生接触网失电故障，导致上下行封锁，一列列车迫停于区间内。经调查，事故原因为某装置支架连接部位金属老化疲劳断裂，导致接触线失去张力后下坠，造成区间失电。</w:t>
      </w:r>
    </w:p>
    <w:p>
      <w:pPr>
        <w:spacing w:line="360" w:lineRule="auto" w:before="60" w:after="60"/>
        <w:ind w:firstLine="480"/>
      </w:pPr>
      <w:r>
        <w:t xml:space="preserve">南京市交通运输局迅速启动“三警”机制，举一反三、堵塞漏洞，全面梳理我市近年来典型地铁运营故障事件，聚焦车辆类、信号类、机电类等六个维度开展类别排查，整改全市地铁线路维保标准执行不到位、设备设施老化等问题3247项，完成8个场景的全要素双盲演练，对18起典型故障事件组织复盘学习，并研究建立地铁突发事件“一键响应”快速响应联动机制，细化各环节操作流程，推动各级各单位联动响应更快速、举措更精准。</w:t>
      </w:r>
    </w:p>
    <w:p>
      <w:pPr>
        <w:spacing w:line="360" w:lineRule="auto" w:before="60" w:after="60"/>
        <w:ind w:firstLine="480"/>
      </w:pPr>
      <w:r>
        <w:rPr>
          <w:b/>
          <w:bCs/>
        </w:rPr>
        <w:t xml:space="preserve">案例三</w:t>
      </w:r>
    </w:p>
    <w:p>
      <w:pPr>
        <w:spacing w:line="360" w:lineRule="auto" w:before="60" w:after="60"/>
        <w:ind w:firstLine="480"/>
      </w:pPr>
      <w:r>
        <w:t xml:space="preserve">近期，某地一小区出租住宅在中介托管期间发生管道液化气爆燃事故，造成4人受伤。经调查，事故原因为住宅内闲置灶具接口未封堵，橡胶软管持续向外泄漏燃气，遇室内火源后引发爆炸。</w:t>
      </w:r>
    </w:p>
    <w:p>
      <w:pPr>
        <w:spacing w:line="360" w:lineRule="auto" w:before="60" w:after="60"/>
        <w:ind w:firstLine="480"/>
      </w:pPr>
      <w:r>
        <w:t xml:space="preserve">针对事故暴露出的问题，南京市建委第一时间启动“三警”机制，联动燃气企业、行业管理部门、社区网格开展全覆盖入户排查。针对房屋中介、物业管理薄弱痛点，升级“双网格”管控机制，对南京房屋中介企业开展专项培训，推动中介企业与港华、中燃、华润三家燃气企业开展联合排查机制，累计排查出租、托管房屋近4万套，整改漏气、私改管线等问题房屋2130套。同时，针对事故暴露出的居民用户燃气安全风险，2026年，将高层住宅燃气安全突发事件应急演练列入市级综合演练计划，并在高层住宅小区开展实战演练，模拟住房违规操作造成泄漏引发闪爆场景，提升应急反应速度及抢险能力。</w:t>
      </w:r>
    </w:p>
    <w:p>
      <w:pPr>
        <w:spacing w:line="360" w:lineRule="auto" w:before="60" w:after="60"/>
        <w:ind w:firstLine="480"/>
      </w:pPr>
      <w:r>
        <w:rPr>
          <w:b/>
          <w:bCs/>
        </w:rPr>
        <w:t xml:space="preserve">案例四</w:t>
      </w:r>
    </w:p>
    <w:p>
      <w:pPr>
        <w:spacing w:line="360" w:lineRule="auto" w:before="60" w:after="60"/>
        <w:ind w:firstLine="480"/>
      </w:pPr>
      <w:r>
        <w:t xml:space="preserve">某地节假日期间发生风筝气球等异物挂线引起输电线路跳闸停运的危急缺陷事件，影响电网安全稳定运行和用户安全可靠用电。</w:t>
      </w:r>
    </w:p>
    <w:p>
      <w:pPr>
        <w:spacing w:line="360" w:lineRule="auto" w:before="60" w:after="60"/>
        <w:ind w:firstLine="480"/>
      </w:pPr>
      <w:r>
        <w:t xml:space="preserve">针对该类事件，国网南京供电公司迅速开展跨年夜输电线路异物隐患类比排查整治专项行动。依托“电网一张图”，提前排查举办跨年活动的场所5公里范围内的输变电设备；动态跟踪相关跨年活动信息，提前安排巡视和应急值班人员，做好激光炮等异物消缺装备准备，确保应急响应精准快速。跨年夜当晚，对城北万象汇、仙林万达茂等有烟花秀、放飞气球活动的场所线路，派驻巡视人员值守，对793公里线路开展不间断夜巡，对输电杆塔开展可视化轮巡，及时发现并清除气球挂线隐患18处，有效保障线路运行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