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上海徐汇鹏珠建筑劳务有限公司“5.21”一般机械伤害事故整改措施落实情况后评估报告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原文链接：https://www.xuhui.gov.cn/xxgk/portal/article/detail?id=8a4c0c0692292eab01931f63854a0878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发布时间：2024-11-08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YS7456383750202400050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上海徐汇鹏珠建筑劳务有限公司“5.21”一般机械伤害事故整改措施落实情况后评估报告</w:t>
      </w:r>
    </w:p>
    <w:p>
      <w:pPr>
        <w:spacing w:line="360" w:lineRule="auto" w:before="60" w:after="60"/>
        <w:ind w:firstLine="480"/>
      </w:pPr>
      <w:r>
        <w:t xml:space="preserve">发布时间： 2024-11-08 点击数： 1544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上海徐汇鹏珠建筑劳务有限公司“5.21”一般机械伤害事故整改措施落实情况后评估报告.pdf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