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关于上海涵橙金属制品有限公司“4·12”一般物体打击事故调查处理情况的报告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原文链接：https://www.fengxian.gov.cn/yjb/aqzt/sggl/20240926/77346.html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发布时间：2024-08-09　抓取时间：2026-10-06</w:t>
      </w:r>
    </w:p>
    <w:p/>
    <w:p>
      <w:pPr>
        <w:pStyle w:val="Heading2"/>
      </w:pPr>
      <w:r>
        <w:t xml:space="preserve">关于上海涵橙金属制品有限公司“4·12”一般物体打击事故调查处理情况的报告</w:t>
      </w:r>
    </w:p>
    <w:p>
      <w:pPr>
        <w:spacing w:line="360" w:lineRule="auto" w:before="60" w:after="60"/>
        <w:ind w:firstLine="480"/>
      </w:pPr>
      <w:r>
        <w:t xml:space="preserve">发布时间：2024-08-09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20240902091000402_74902045.pdf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p>
      <w:pPr>
        <w:pStyle w:val="Heading3"/>
      </w:pPr>
      <w:r>
        <w:t xml:space="preserve">相关推荐</w:t>
      </w:r>
    </w:p>
    <w:p>
      <w:pPr>
        <w:pStyle w:val="Heading3"/>
      </w:pPr>
      <w:r>
        <w:t xml:space="preserve">热门政策推荐</w:t>
      </w:r>
    </w:p>
    <w:p>
      <w:pPr>
        <w:spacing w:line="360" w:lineRule="auto" w:before="60" w:after="60"/>
        <w:ind w:firstLine="480"/>
      </w:pPr>
      <w:r>
        <w:t xml:space="preserve">•  本区 </w:t>
      </w:r>
    </w:p>
    <w:p>
      <w:pPr>
        <w:spacing w:line="360" w:lineRule="auto" w:before="60" w:after="60"/>
        <w:ind w:firstLine="480"/>
      </w:pPr>
      <w:r>
        <w:t xml:space="preserve">•  本市 </w:t>
      </w:r>
    </w:p>
    <w:p>
      <w:pPr>
        <w:pStyle w:val="Heading3"/>
      </w:pPr>
      <w:r>
        <w:t xml:space="preserve">服务推荐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