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蓟州杨津庄金江瑞泰公司“8·22” 一般燃气爆燃事故调查报告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原文链接：https://www.tjjz.gov.cn/zwgk/zfxxgkqjjg/yjj1/fdzdgknr26/zdmsxx26/aqsc26/202312/t20231214_6481989.html</w:t>
      </w:r>
    </w:p>
    <w:p>
      <w:pPr>
        <w:spacing w:before="20" w:after="20"/>
      </w:pPr>
      <w:r>
        <w:rPr>
          <w:color w:val="888888"/>
          <w:sz w:val="18"/>
        </w:rPr>
        <w:t xml:space="preserve">发布时间：2023-12-14　抓取时间：2026-10-06</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蓟州杨津庄金江瑞泰公司“8·22”</w:t>
      </w:r>
    </w:p>
    <w:p>
      <w:pPr>
        <w:spacing w:line="360" w:lineRule="auto" w:before="60" w:after="60"/>
        <w:ind w:firstLine="480"/>
      </w:pPr>
      <w:r>
        <w:t xml:space="preserve">一般燃气爆燃事故调查报告</w:t>
      </w:r>
    </w:p>
    <w:p>
      <w:pPr>
        <w:spacing w:line="360" w:lineRule="auto" w:before="60" w:after="60"/>
        <w:ind w:firstLine="480"/>
      </w:pPr>
      <w:r>
        <w:t xml:space="preserve"> </w:t>
      </w:r>
    </w:p>
    <w:p>
      <w:pPr>
        <w:spacing w:line="360" w:lineRule="auto" w:before="60" w:after="60"/>
        <w:ind w:firstLine="480"/>
      </w:pPr>
      <w:r>
        <w:t xml:space="preserve">2023年8月22日16时24分，位于蓟州区杨津庄镇杨津庄村的瑞顺口腔诊所发生爆燃事故，造成17人受伤，其中重伤9人。截至11月10日，统计完成直接经济损失559.45万元。</w:t>
      </w:r>
    </w:p>
    <w:p>
      <w:pPr>
        <w:spacing w:line="360" w:lineRule="auto" w:before="60" w:after="60"/>
        <w:ind w:firstLine="480"/>
      </w:pPr>
      <w:r>
        <w:t xml:space="preserve">事故发生后，市委、市政府高度重视，市委书记陈敏尔同志，市委副书记、市长张工同志，市委常委、常务副市长刘桂平同志，副市长谢元同志相继作出批示。副市长谢元带领市相关部门负责同志第一时间赶到现场指挥部署，全力做好伤员救治、原因核查、善后处置等工作。</w:t>
      </w:r>
    </w:p>
    <w:p>
      <w:pPr>
        <w:spacing w:line="360" w:lineRule="auto" w:before="60" w:after="60"/>
        <w:ind w:firstLine="480"/>
      </w:pPr>
      <w:r>
        <w:t xml:space="preserve">依据《中华人民共和国安全生产法》、《生产安全事故报告和调查处理条例》（国务院令第493号）和《天津市安全生产条例》等法律法规，2023年8月23日，天津市蓟州区人民政府批复同意成立由区应急局牵头，公安蓟州分局、区消防救援支队、区城市管理委、区住房建设委、区总工会、杨津庄镇政府等部门组成事故调查组，并邀请区纪委监委、区检察院介入调查。事故调查组下设管理调查组和技术调查组开展调查，并聘请天津燃气行业协会的专家提供技术支持。2023年8月24日，天津市安委会下发了《生产安全事故查处挂牌督办通知》（津安生督〔2023〕11号），决定对蓟州杨津庄金江瑞泰公司“8·22”一般燃气爆燃事故查处实行挂牌督办。市安委会办公室派驻精干力量一线指导督办事故调查工作。9月27日，国务院安委会办公室下发《关于对天津蓟州“8·22”燃气爆燃事故查处实行挂牌督办的函》（安委办函〔2023〕124号），10月19日对事故调查进展情况进行督导。市安委会办公室立刻落实国务院安委会办公室要求，组织力量深入开展事故调查工作。</w:t>
      </w:r>
    </w:p>
    <w:p>
      <w:pPr>
        <w:spacing w:line="360" w:lineRule="auto" w:before="60" w:after="60"/>
        <w:ind w:firstLine="480"/>
      </w:pPr>
      <w:r>
        <w:t xml:space="preserve">事故调查组坚持“四不放过”和“科学严谨、依法依规、实事求是、注重实效”的原则开展事故调查工作，通过现场勘查、调查取证、综合分析，查明了事故发生的原因，认定了事故性质和责任，提出了对有关责任人和责任单位的处理建议，并针对事故原因及暴露的突出问题，提出了事故防范措施建议。</w:t>
      </w:r>
    </w:p>
    <w:p>
      <w:pPr>
        <w:spacing w:line="360" w:lineRule="auto" w:before="60" w:after="60"/>
        <w:ind w:firstLine="480"/>
      </w:pPr>
      <w:r>
        <w:t xml:space="preserve">经调查认定，蓟州杨津庄金江瑞泰公司“8·22”一般事故是一起因非法施工造成燃气爆燃的生产安全责任事故。该事故在社会上造成较大影响，现将有关情况报告如下：</w:t>
      </w:r>
    </w:p>
    <w:p>
      <w:pPr>
        <w:spacing w:line="360" w:lineRule="auto" w:before="60" w:after="60"/>
        <w:ind w:firstLine="480"/>
      </w:pPr>
      <w:r>
        <w:t xml:space="preserve">基本情况 </w:t>
      </w:r>
    </w:p>
    <w:p>
      <w:pPr>
        <w:spacing w:line="360" w:lineRule="auto" w:before="60" w:after="60"/>
        <w:ind w:firstLine="480"/>
      </w:pPr>
      <w:r>
        <w:t xml:space="preserve">（一）事故发生单位及相关单位人员概况</w:t>
      </w:r>
    </w:p>
    <w:p>
      <w:pPr>
        <w:spacing w:line="360" w:lineRule="auto" w:before="60" w:after="60"/>
        <w:ind w:firstLine="480"/>
      </w:pPr>
      1.建设单位：
      <w:r>
        <w:rPr>
          <w:b/>
          <w:bCs/>
        </w:rPr>
        <w:t xml:space="preserve">天津金江瑞泰饮品有限公司</w:t>
      </w:r>
      （以下简称金江瑞泰公司）
    </w:p>
    <w:p>
      <w:pPr>
        <w:spacing w:line="360" w:lineRule="auto" w:before="60" w:after="60"/>
        <w:ind w:firstLine="480"/>
      </w:pPr>
      <w:r>
        <w:t xml:space="preserve">该公司成立于2023年2月24日，法定代表人为潘某亮，实际出资和负责人为潘某。注册地址为天津市蓟州区杨津庄镇杨津庄村西20米，注册资本369万元。统一社会信用代码为91120225MACAPGJ5X6；企业性质为民营企业；公司类型为有限责任公司（法人独资）。经营范围：（1）许可项目：饮料生产。（依法须经批准的项目，经相关部门批准后方可开展经营活动，具体经营项目以相关部门批准文件或许可证件为准）。（2）一般项目：技术服务、技术开发、技术咨询、技术交流、技术转让、技术推广；总质量4.5吨及以下普通货运车辆道路货物运输（除网络货运和危险货物）。（除依法须经批准的项目外，凭营业执照依法自主开展经营活动）</w:t>
      </w:r>
    </w:p>
    <w:p>
      <w:pPr>
        <w:spacing w:line="360" w:lineRule="auto" w:before="60" w:after="60"/>
        <w:ind w:firstLine="480"/>
      </w:pPr>
      <w:r>
        <w:t xml:space="preserve">2.施工方：赵某 贾某良</w:t>
      </w:r>
    </w:p>
    <w:p>
      <w:pPr>
        <w:spacing w:line="360" w:lineRule="auto" w:before="60" w:after="60"/>
        <w:ind w:firstLine="480"/>
      </w:pPr>
      <w:r>
        <w:t xml:space="preserve">自然人赵某，男，天津市蓟州区人，无任何资质证照，潘某将金江瑞泰公司建设过程中的一些零散活发包给赵某。金江瑞泰公司将本次钻孔拉管工程发包给赵某。</w:t>
      </w:r>
    </w:p>
    <w:p>
      <w:pPr>
        <w:spacing w:line="360" w:lineRule="auto" w:before="60" w:after="60"/>
        <w:ind w:firstLine="480"/>
      </w:pPr>
      <w:r>
        <w:t xml:space="preserve">自然人贾某良，男，天津市蓟州区人，中国建设银行天津分公司蓟州支行职工。无任何资质证照，自己购买一台二手水平定向钻机，承接钻孔打眼工作，并雇佣专人负责操作。赵某将此次钻孔拉管施工具体转包给贾某良。</w:t>
      </w:r>
    </w:p>
    <w:p>
      <w:pPr>
        <w:spacing w:line="360" w:lineRule="auto" w:before="60" w:after="60"/>
        <w:ind w:firstLine="480"/>
      </w:pPr>
      <w:r>
        <w:t xml:space="preserve">3.燃气管线经营单位</w:t>
      </w:r>
    </w:p>
    <w:p>
      <w:pPr>
        <w:spacing w:line="360" w:lineRule="auto" w:before="60" w:after="60"/>
        <w:ind w:firstLine="480"/>
      </w:pPr>
      <w:r>
        <w:rPr>
          <w:b/>
          <w:bCs/>
        </w:rPr>
        <w:t xml:space="preserve">天津市蓟州中燃宏凯能源有限公司</w:t>
      </w:r>
      （以下简称中燃宏凯公司）。该公司成立于2017年4月19日，法定代表人为曹某。注册地址为天津市蓟州区渔阳镇人防大厦二楼，注册资本5000万元。统一社会信用代码为91120225MA05Q0A900；企业性质为民营企业；公司类型为有限责任公司（法人独资）。经营范围：（1）许可项目：燃气经营；各类工程建设活动。（依法须经批准的项目，经相关部门批准后方可开展经营活动，具体经营项目以相关部门批准文件或许可证件为准）。（2）一般项目：供暖服务；非电力家用器具销售；机械设备租赁；仪器仪表修理；供应用仪器仪表销售；家用电器销售；厨具卫具及日用杂品批发；商务代理代办服务。（除依法须经批准的项目外，凭营业执照依法自主开展经营活动）。
    </w:p>
    <w:p>
      <w:pPr>
        <w:spacing w:line="360" w:lineRule="auto" w:before="60" w:after="60"/>
        <w:ind w:firstLine="480"/>
      </w:pPr>
      <w:r>
        <w:rPr>
          <w:b/>
          <w:bCs/>
        </w:rPr>
        <w:t xml:space="preserve">天津中燃宏洁能源有限公司</w:t>
      </w:r>
      （以下简称中燃宏洁公司）。该公司成立于2017年2月22日，法定代表人为曹某。注册地址为天津市蓟州区渔阳镇东一环路2号的房间A410室，统一社会信用代码为91120225MA05N61K3C；注册资本5000万元。股东中保投中燃（深圳）清洁能源发展基金，占股99%，股东中燃燃气实业（深圳）有限公司，占股1%。中燃宏洁公司是中燃宏凯公司、天津宝坻区中燃能源有限公司、天津宁河区中燃宏昌能源有限公司和天津静海区中燃宏胜能源有限公司的投资主体，主要负责财务管理，不负责经营和安全管理。
    </w:p>
    <w:p>
      <w:pPr>
        <w:spacing w:line="360" w:lineRule="auto" w:before="60" w:after="60"/>
        <w:ind w:firstLine="480"/>
      </w:pPr>
      <w:r>
        <w:rPr>
          <w:b/>
          <w:bCs/>
        </w:rPr>
        <w:t xml:space="preserve">中燃天津经营管理集团</w:t>
      </w:r>
      （以下简称经管集团）。该集团系中国燃气控股有限公司在天津设立的区域经营管理派驻机构，负责实际管理天津的14家公司。经管集团系未经注册登记的非法人单位，负责人为曹某。截至目前，中燃集团在津建设运营燃气管线13833公里，其中高压管线387公里、中压管线3779公里、低压管线9667公里、总用户数为52.6万户，其中蓟州高压管线82公里、中压管线1764公里、低压管线3896公里、用户数18.57万户。
    </w:p>
    <w:p>
      <w:pPr>
        <w:spacing w:line="360" w:lineRule="auto" w:before="60" w:after="60"/>
        <w:ind w:firstLine="480"/>
      </w:pPr>
      <w:r>
        <w:rPr>
          <w:b/>
          <w:bCs/>
        </w:rPr>
        <w:t xml:space="preserve">中国燃气控股有限公司</w:t>
      </w:r>
      （以下简称中燃集团）。该公司为境外法人企业，香港上市公司，注册地为百慕大群岛，在香港联交所主板上市，主要从事城市与乡镇燃气管道基础设施的投资、建设、经营、管理，向居民和工商业用户输送各种燃气，实际控制人为刘某辉。中燃集团通过（香港）中国燃气控股有限公司和中燃投资有限公司在深圳注册成立中燃燃气实业（深圳）有限公司，负责投资中国大陆的燃气项目，履行出资义务，但其他管理职能由中燃集团代为行使。
    </w:p>
    <w:p>
      <w:pPr>
        <w:spacing w:line="360" w:lineRule="auto" w:before="60" w:after="60"/>
        <w:ind w:firstLine="480"/>
      </w:pPr>
      <w:r>
        <w:t xml:space="preserve">4.天津蓟州区瑞顺口腔诊所有限公司（以下简称瑞顺口腔诊所）</w:t>
      </w:r>
    </w:p>
    <w:p>
      <w:pPr>
        <w:spacing w:line="360" w:lineRule="auto" w:before="60" w:after="60"/>
        <w:ind w:firstLine="480"/>
      </w:pPr>
      <w:r>
        <w:t xml:space="preserve">该公司成立于2019年2月21日，法定代表人为杨某倩。注册地址为天津市蓟州区杨津庄镇杨津庄村西，注册资本20万元。统一社会信用代码为91120225MA06JF8918；企业性质为民营企业；公司类型为有限责任公司（自然人独资）。经营范围：口腔科。</w:t>
      </w:r>
    </w:p>
    <w:p>
      <w:pPr>
        <w:spacing w:line="360" w:lineRule="auto" w:before="60" w:after="60"/>
        <w:ind w:firstLine="480"/>
      </w:pPr>
      <w:r>
        <w:t xml:space="preserve">（二）项目情况</w:t>
      </w:r>
    </w:p>
    <w:p>
      <w:pPr>
        <w:spacing w:line="360" w:lineRule="auto" w:before="60" w:after="60"/>
        <w:ind w:firstLine="480"/>
      </w:pPr>
      <w:r>
        <w:t xml:space="preserve">杨津庄镇政府于2022年计划引进金江瑞泰饮品项目，2023年3月项目立项，5月开始办理审批手续，7月18日取得《准予行政许可决定书》（取水许可事项）；7月27日，金江瑞泰公司同保定升鑫水利工程有限公司签订《天津金江瑞泰饮品有限公司水源井工程施工合同书》；7月28日，保定升鑫水利工程有限公司组织工人进场打井施工，8月10日完成打井工程，项目负责人韩某伟和另一名工人留在水厂做洗井、抽水实验，其他工人撤场。8月12日4时许完成抽水实验后，保定升鑫水利工程有限公司人员全部撤场。</w:t>
      </w:r>
    </w:p>
    <w:p>
      <w:pPr>
        <w:spacing w:line="360" w:lineRule="auto" w:before="60" w:after="60"/>
        <w:ind w:firstLine="480"/>
      </w:pPr>
      <w:r>
        <w:t xml:space="preserve">8月17日，金江瑞泰公司实际负责人潘某和副总经理陈某认为水井内水质不符合要求，决定继续抽水、洗井，因井内废水抽出后无处排放，潘某打算从公司院内一直向北钻孔拉管，通过杨津庄镇杨津庄村后横穿一线穿公路，将污水排至一线穿公路北侧水渠内，钻孔穿管距离约150米。8月18日，潘某联系赵某，将钻孔拉管工程发包给赵某；赵某电话联系钻孔拉管施工队负责人贾某良，口头协议将金江瑞泰公司地下钻孔的工程转包给贾某良的施工队。</w:t>
      </w:r>
    </w:p>
    <w:p>
      <w:pPr>
        <w:spacing w:line="360" w:lineRule="auto" w:before="60" w:after="60"/>
        <w:ind w:firstLine="480"/>
      </w:pPr>
      <w:r>
        <w:t xml:space="preserve">8月20日，赵某通过杨津庄村支部书记赵某旺联系中燃宏凯公司负责杨津庄村的巡线员王某商议钻孔拉管穿越燃气管道的相关事宜，被告知需提供《施工现场燃气管道设施安全保护协议》、《施工现场告知书》、《交叉施工联络单》，并且需其与燃气公司共同制定《燃气管道施工保护方案》，手续齐全且巡线员到现场监护方可施工。</w:t>
      </w:r>
    </w:p>
    <w:p>
      <w:pPr>
        <w:spacing w:line="360" w:lineRule="auto" w:before="60" w:after="60"/>
        <w:ind w:firstLine="480"/>
      </w:pPr>
      <w:r>
        <w:t xml:space="preserve">（三）相关设备设施情况</w:t>
      </w:r>
    </w:p>
    <w:p>
      <w:pPr>
        <w:spacing w:line="360" w:lineRule="auto" w:before="60" w:after="60"/>
        <w:ind w:firstLine="480"/>
      </w:pPr>
      <w:r>
        <w:t xml:space="preserve">1.建筑情况</w:t>
      </w:r>
    </w:p>
    <w:p>
      <w:pPr>
        <w:spacing w:line="360" w:lineRule="auto" w:before="60" w:after="60"/>
        <w:ind w:firstLine="480"/>
      </w:pPr>
      <w:r>
        <w:t xml:space="preserve">事发地房屋为房主赵某军利用北侧正房为主体结构向北加盖彩钢房的单层门市房，主体房屋为水泥框架结构长15.5米、宽6.5米、高5米，彩钢房长15.5米、宽5.3米、高3.5米，建筑总面积182.9平方米，共分为东西两部分，中间使用彩钢板隔离。东侧部分为房主的天津市蓟州区永久自行车商行（以下简称自行车商行），东西向长8.3米，建筑面积97.9平方米，存有30余辆电动车和自行车、50余组铅酸电池等；西侧部分租赁给瑞顺口腔诊所店主孙某强，东西向长7.2米，建筑面积85平方米，内部采取PVC和石膏板材质吊顶，距地面3.5米，诊所北侧为铝合金框架玻璃落地窗，距一线穿公路10米，西与爱鑫家纺间隔一宽2.5米的胡同，南侧为高0.5米砖混实墙加铝合金框架玻璃窗户，与户主西侧厢房隔4.2米。</w:t>
      </w:r>
    </w:p>
    <w:p>
      <w:pPr>
        <w:spacing w:line="360" w:lineRule="auto" w:before="60" w:after="60"/>
        <w:ind w:firstLine="480"/>
      </w:pPr>
      <w:r>
        <w:t xml:space="preserve">2.涉事设备情况</w:t>
      </w:r>
    </w:p>
    <w:p>
      <w:pPr>
        <w:spacing w:line="360" w:lineRule="auto" w:before="60" w:after="60"/>
        <w:ind w:firstLine="480"/>
      </w:pPr>
      <w:r>
        <w:t xml:space="preserve">（1）瑞顺口腔诊所内部设施情况</w:t>
      </w:r>
    </w:p>
    <w:p>
      <w:pPr>
        <w:spacing w:line="360" w:lineRule="auto" w:before="60" w:after="60"/>
        <w:ind w:firstLine="480"/>
      </w:pPr>
      <w:r>
        <w:t xml:space="preserve">瑞顺口腔诊所共分为8个区域，从北到南依次为厨房、候诊区、储藏室、前台、资料室、西侧独立治疗间、中间治疗区、东侧治疗区，房间内共有3个水盆，2个污水排出管孔，室内排水管口均无水封措施。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