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关于润世达工程有限公司“6·20”一般物体打击事故防范和整改措施落实情况的评估报告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原文链接：https://www.tjwq.gov.cn/zwgk/zfxxgk/wbj2/qyjj1/fdzdgknr22/zdmsxx22/aqsc22/202301/t20230103_6066932.html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发布时间：2022-12-29　抓取时间：2026-10-06</w:t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为督促生产安全事故防范和整改措施有效落实，充分发挥事故调查处理对加强和改进安全生产工作的促进作用，依据《天津市生产安全事故暴露问题整改督办制度（试行）》的相关要求，区安委会办公室组织了对润世达工程有限公司“6·20”一般物体打击事故的评估工作。区应急局按照通知要求，汇总各有关单位意见形成了此评估报告。</w:t>
      </w:r>
    </w:p>
    <w:p>
      <w:pPr>
        <w:spacing w:line="360" w:lineRule="auto" w:before="60" w:after="60"/>
        <w:ind w:firstLine="480"/>
      </w:pPr>
      <w:r>
        <w:t xml:space="preserve">一、评估工作的组织及开展情况</w:t>
      </w:r>
    </w:p>
    <w:p>
      <w:pPr>
        <w:spacing w:line="360" w:lineRule="auto" w:before="60" w:after="60"/>
        <w:ind w:firstLine="480"/>
      </w:pPr>
      <w:r>
        <w:t xml:space="preserve">依据“谁调查、谁评估”的工作原则，由原事故调查组组长担任评估组组长，区政府批复事故报告后，区应急局已将事故报告及批复相关情况通知各责任单位，并明确了工作任务。评估组采取抽查座谈、翻看佐证材料的形式，实际了解落实情况。在规定时限内，各单位均报送了落实情况报告。</w:t>
      </w:r>
    </w:p>
    <w:p>
      <w:pPr>
        <w:spacing w:line="360" w:lineRule="auto" w:before="60" w:after="60"/>
        <w:ind w:firstLine="480"/>
      </w:pPr>
      <w:r>
        <w:t xml:space="preserve">二、事故调查处理情况</w:t>
      </w:r>
    </w:p>
    <w:p>
      <w:pPr>
        <w:spacing w:line="360" w:lineRule="auto" w:before="60" w:after="60"/>
        <w:ind w:firstLine="480"/>
      </w:pPr>
      <w:r>
        <w:t xml:space="preserve">事故报告中对事故有关责任单位的处理建议为：由区应急管理局对润世达工程有限公司进行28万元罚款的行政处罚。</w:t>
      </w:r>
    </w:p>
    <w:p>
      <w:pPr>
        <w:spacing w:line="360" w:lineRule="auto" w:before="60" w:after="60"/>
        <w:ind w:firstLine="480"/>
      </w:pPr>
      <w:r>
        <w:t xml:space="preserve">对事故有关责任人的行政处理建议为：由区应急管理局对程微（润世达工程有限公司派驻项目部项目经理）进行2.34万元罚款行政处罚。</w:t>
      </w:r>
    </w:p>
    <w:p>
      <w:pPr>
        <w:spacing w:line="360" w:lineRule="auto" w:before="60" w:after="60"/>
        <w:ind w:firstLine="480"/>
      </w:pPr>
      <w:r>
        <w:t xml:space="preserve">三、评估事项及结论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润世达工程有限公司已于2021年9月17日足额缴纳罚款。</w:t>
      </w:r>
    </w:p>
    <w:p>
      <w:pPr>
        <w:spacing w:line="360" w:lineRule="auto" w:before="60" w:after="60"/>
        <w:ind w:firstLine="480"/>
      </w:pPr>
      <w:r>
        <w:t xml:space="preserve">程微已于2021年9月17日足额缴纳罚款。</w:t>
      </w:r>
    </w:p>
    <w:p>
      <w:pPr>
        <w:spacing w:line="360" w:lineRule="auto" w:before="60" w:after="60"/>
        <w:ind w:firstLine="480"/>
      </w:pPr>
      <w:r>
        <w:t xml:space="preserve">评估结论：区应急局对润世达工程有限公司和程微的行政处罚已落实。</w:t>
      </w:r>
    </w:p>
    <w:p>
      <w:pPr>
        <w:spacing w:line="360" w:lineRule="auto" w:before="60" w:after="60"/>
        <w:ind w:firstLine="480"/>
      </w:pPr>
      <w:r>
        <w:t xml:space="preserve">（二）事故防范和整改措施的落实情况</w:t>
      </w:r>
    </w:p>
    <w:p>
      <w:pPr>
        <w:spacing w:line="360" w:lineRule="auto" w:before="60" w:after="60"/>
        <w:ind w:firstLine="480"/>
      </w:pPr>
      <w:r>
        <w:t xml:space="preserve">润世达工程有限公司充分吸取事故教训，施工项目部完善建立了《设备进出场管理办法》、《设备使用期间保养维护台账》等管理制度。现场安排专人负责检查作业维护保养情况，并建立了隐患排查台账，针对机械设备从出厂一致性、设备性能、工况等情况进行了专门检查。对隐患排查治理工作进一步完善和夯实，努力做好风险排查和隐患识别工作，累计完成排查安全隐患整改300余项。</w:t>
      </w:r>
    </w:p>
    <w:p>
      <w:pPr>
        <w:spacing w:line="360" w:lineRule="auto" w:before="60" w:after="60"/>
        <w:ind w:firstLine="480"/>
      </w:pPr>
      <w:r>
        <w:t xml:space="preserve">河北屯镇在事故发生之后，组织辖区在建建筑施工项目负责人召开工作会议，通报事故情况，要求在建项目各方充分吸取事故教训；制定了安全生产隐患大排查大整治工作方案，成立由城建办牵头，安监站、综合执法大队为成员的联合检查小组，开展排查检查；完善了《河北屯镇建筑工程安全事故专项应急预案》和具体检查措施，进一步加强建筑施工项目安全监管。</w:t>
      </w:r>
    </w:p>
    <w:p>
      <w:pPr>
        <w:spacing w:line="360" w:lineRule="auto" w:before="60" w:after="60"/>
        <w:ind w:firstLine="480"/>
      </w:pPr>
      <w:r>
        <w:t xml:space="preserve">评估结论：各相关单位对事故调查报告中的事故防范和整改措施已落实。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2022年8月12日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