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武清汽车产业园天津恒泰利川建筑工程有限公司“6·1”一般车辆伤害事故 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原文链接：https://www.tjwq.gov.cn/zwgk/zfxxgk/wbj2/qyjj1/fdzdgknr22/zdmsxx22/aqsc22/202511/t20251103_7169009.html</w:t>
      </w:r>
    </w:p>
    <w:p>
      <w:pPr>
        <w:spacing w:before="20" w:after="20"/>
      </w:pPr>
      <w:r>
        <w:rPr>
          <w:color w:val="888888"/>
          <w:sz w:val="18"/>
        </w:rPr>
        <w:t xml:space="preserve">发布时间：2025-10-30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2024年6月1日，在汽车产业园，天津恒泰利川建筑工程有限公司发生一起车辆伤害事故，致1人死亡。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武清汽车产业园天津恒泰利川建筑工程有限公司“6·1”一般车辆伤害事故（以下简称“6·1”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6·1”事故已于2024年9月5日经区人民政府批复结案。按照“事故结案后一年内，负责事故调查的地方政府和有关部门要组织开展评估”的有关规定，区安委会办公室于2025年8月7日启动事故防范和整改措施落实情况的评估工作，成立评估组，区应急局、公安武清分局、区总工会、新高园（原汽车产业园）等单位作为评估工作组成员单位，按照分工开展评估工作。</w:t>
      </w:r>
    </w:p>
    <w:p>
      <w:pPr>
        <w:spacing w:line="360" w:lineRule="auto" w:before="60" w:after="60"/>
        <w:ind w:firstLine="480"/>
      </w:pPr>
      <w:r>
        <w:t xml:space="preserve">按照区安委办明确的任务分工，评估组采取资料审查、座谈问询、查阅文件、走访核查等方式，深入开展评估工作。对评估过程中发现的问题，及时向有关部门进行反馈，要求立即组织整改，形成了事故责任追究和整改措施落实情况的评估报告。</w:t>
      </w:r>
    </w:p>
    <w:p>
      <w:pPr>
        <w:spacing w:line="360" w:lineRule="auto" w:before="60" w:after="60"/>
        <w:ind w:firstLine="480"/>
      </w:pPr>
      <w:r>
        <w:t xml:space="preserve">二、总体评估意见</w:t>
      </w:r>
    </w:p>
    <w:p>
      <w:pPr>
        <w:spacing w:line="360" w:lineRule="auto" w:before="60" w:after="60"/>
        <w:ind w:firstLine="480"/>
      </w:pPr>
      <w:r>
        <w:t xml:space="preserve">总体上看，“6·1”事故相关责任单位及人员能够认真吸取事故教训，加强安全生产工作，较好地落实了“6·1”事故报告提出的有关处理意见及事故防范和整改措施。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区应急管理局于2024年10月10日对天津恒泰利川建筑工程有限公司及该公司总经理、事故项目负责人李某下达行政处罚决定书。天津恒泰利川建筑工程有限公司和李某于2025年3月24日足额缴纳罚款。</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天津恒泰利川建筑工程有限公司认真反省事故暴露出的问题，持续加强现场作业安全管理。一是分级分类开展安全生产教育和培训。每季度组织一次全体员工参与的安全生产轮训，各项目部每日开展班前安全交底会，由班组长向班组成员明确当日工作任务中的安全风险点及防范措施，推动全员安全意识的提升。二是持续开展隐患排查治理。每季度由公司主管领导带队，组织安全管理部门、工程技术部门、设备管理部门等相关部门，对公司所属在建项目进行综合性安全生产大检查。三是推动作业人员按章作业。结合国家有关规定，对安全生产规章制度和各类工程施工技术方案进行全面梳理和修订，并组织一线作业人员开展学习；严格现场监督管理，加强现场巡查检查，及时制止违章行为。</w:t>
      </w:r>
    </w:p>
    <w:p>
      <w:pPr>
        <w:spacing w:line="360" w:lineRule="auto" w:before="60" w:after="60"/>
        <w:ind w:firstLine="480"/>
      </w:pPr>
      <w:r>
        <w:t xml:space="preserve">（二）天津珠峰硅钢股份有限公司作为发包单位，强化外委第三方作业单位进厂安全管理。严格外委第三方作业单位资质审核，建立了第三方资质审查清单和档案。在外委第三方施工作业前，对其营业执照、安全生产许可证、人员资质等进行严格审查，确保其具备相应的安全生产条件；建立相关工作制度流程，在外委第三方作业单位入场时，要逐级进行审批，确保公司有关部门了解当天第三方作业人员入厂情况；完善安全生产协议书，对设备设施、作业规范、安全防护等方面做出了详细规定，确保作业安全。天津珠峰硅钢股份有限公司还改进了外委施工现场作业的安全监督检查工作。外委第三方作业单位入厂前，需由公司相关责任人携带审批流程到门卫进行接入，进入生产车间作业时，配备专人(监护人)对作业现场进行全程监督和指导，及时发现和纠正外委第三方作业单位的不安全行为。</w:t>
      </w:r>
    </w:p>
    <w:p>
      <w:pPr>
        <w:spacing w:line="360" w:lineRule="auto" w:before="60" w:after="60"/>
        <w:ind w:firstLine="480"/>
      </w:pPr>
      <w:r>
        <w:t xml:space="preserve">（三）新高园（原汽车园）坚持问题导向，督促指导辖区生产经营单位做好针对外委第三方作业单位的安全管理工作，强化外来作业人员安全管控。新高园组织召开安全警示专题会议，播放事故案例、安全警示教育片，并在检查过程中，向从业人员发放安全提示，促进企业提升安全责任意识。新高园还针对事故暴露出的典型问题迅速进行动员部署，制定《企业外来施工人员安全专项工作方案》，全年累计检查179家次，要求企业切实履行安全生产主体责任，加强外来作业人员作业现场的“三违”治理与风险分级管控与隐患排查治理工作，严格执行相关安全制度，完善设备设施安全。经专项检查共发现外来施工作业隐患16项，已整改16项，其中重大隐患3项，已整改3项。</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