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武清京津科技谷天津曼诺置业有限公司“8·9”一般触电事故防范和整改措施落实情况的评估报告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原文链接：https://www.tjwq.gov.cn/zwgk/zfxxgk/wbj2/qyjj1/fdzdgknr22/zdmsxx22/aqsc22/202601/t20260128_7233302.html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发布时间：2026-01-16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2024年8月9日，在位于武清区京津科技谷康园道202号的天津曼诺置业有限公司空置临街商铺内，发生一起触电事故，造成1人死亡。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进作用，督促生产安全事故防范和整改措施有效落实，防范类似生产安全事故发生，最大程度保障人民群众生命安全，按照《中华人民共和国安全生产法》《天津市生产安全事故防范和整改措施落实情况评估办法》等有关规定，区安委会办公室组织开展了武清京津科技谷天津曼诺置业有限公司“8·9”一般触电事故（以下简称“8·9”事故）防范和整改措施落实情况的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“8·9”事故已于2024年12月10日经区人民政府批复结案。按照“事故结案后一年内，负责事故调查的地方政府和有关部门要组织开展评估”的有关规定，区安委会办公室于2025年11月5日启动事故防范和整改措施落实情况的评估工作，成立评估组，区应急局、公安武清分局、区总工会、区住建委、京津科技谷等单位作为评估工作组成员单位，按照分工开展评估工作。</w:t>
      </w:r>
    </w:p>
    <w:p>
      <w:pPr>
        <w:spacing w:line="360" w:lineRule="auto" w:before="60" w:after="60"/>
        <w:ind w:firstLine="480"/>
      </w:pPr>
      <w:r>
        <w:t xml:space="preserve">按照区安委办明确的任务分工，评估组采取资料审查、座谈问询、查阅文件、走访核查等方式，深入开展评估工作。对评估过程中发现的问题，及时向有关部门进行反馈，要求立即组织整改，形成了事故责任追究和整改措施落实情况的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总体上看，“8·9”事故相关责任单位及人员能够认真吸取事故教训，加强安全生产工作，较好地落实了“8·9”事故报告提出的有关处理意见及事故防范和整改措施。</w:t>
      </w:r>
    </w:p>
    <w:p>
      <w:pPr>
        <w:spacing w:line="360" w:lineRule="auto" w:before="60" w:after="60"/>
        <w:ind w:firstLine="480"/>
      </w:pPr>
      <w:r>
        <w:t xml:space="preserve">三、有关责任追究落实情况</w:t>
      </w:r>
    </w:p>
    <w:p>
      <w:pPr>
        <w:spacing w:line="360" w:lineRule="auto" w:before="60" w:after="60"/>
        <w:ind w:firstLine="480"/>
      </w:pPr>
      <w:r>
        <w:t xml:space="preserve">区应急管理局于2025年2月6日对天津曼诺置业有限公司、田某下达行政处罚决定书。天津曼诺置业有限公司于2025年2月7日足额缴纳罚款，田某于2025年2月7日足额缴纳罚款。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为深刻吸取事故教训，有效避免类似事故的再次发生，相关单位坚持问题导向，举一反三，积极落实事故调查报告中提出的事故防范和整改措施。</w:t>
      </w:r>
    </w:p>
    <w:p>
      <w:pPr>
        <w:spacing w:line="360" w:lineRule="auto" w:before="60" w:after="60"/>
        <w:ind w:firstLine="480"/>
      </w:pPr>
      <w:r>
        <w:t xml:space="preserve">（一）天津曼诺置业有限公司强化安全生产主体责任落实。天津曼诺置业有限公司已吸取事故教训，按照事故调查报告提出的整改措施进行整改，建立健全危险作业安全管理制度，强化危险作业现场安全管理，组织开展全员安全生产教育培训，明确各类设备的安全使用管理，强化设备的安全隐患排查检查，加强各类设备安装、检修作业的管理，明确各岗位安全职责，切实提升企业本质安全水平。</w:t>
      </w:r>
    </w:p>
    <w:p>
      <w:pPr>
        <w:spacing w:line="360" w:lineRule="auto" w:before="60" w:after="60"/>
        <w:ind w:firstLine="480"/>
      </w:pPr>
      <w:r>
        <w:t xml:space="preserve">（二）京津科技谷积极提升辖区安全管理水平。一是开展隐患排查治理工作。结合安全生产治本攻坚三年行动相关要求，领导班子牵头成立专项工作小组，组织安全服务部对园区159家实体生产企业（含85家实体生产企业、74家租赁企业）开展全覆盖、无死角的拉网式隐患大排查。同步聚焦电气安全关键环节，延伸核查80余家重点企业的配电箱接地、线路绝缘等情况，确保隐患排查不留盲区、不漏死角。二是积极开展安全生产警示教育宣传。召开专题警示教育大会，累计组织4场次专项培训，覆盖员工2400余人次，通过深刻剖析事故原因、解读典型案例，强化全员安全敬畏心；开展入企宣贯行动，向企业精准普及“三违五防”、“十项禁令”，现场解答疑问、指导落实，推动安全理念直达一线岗位；依托园区官方公众号，持续发布电气安全知识、事故警示案例、整改工作动态等内容，营造“人人讲安全、事事为安全”的浓厚氛围。三是严管严控，规范岗位操作行为。严格推行“电工持证上岗+定期复核”制度，未查到无证上岗人员。同时将“三违”整治纳入日常监管重点，强化现场巡查力度，督促员工规范佩戴绝缘防护用品，推动操作流程标准化。</w:t>
      </w:r>
    </w:p>
    <w:p>
      <w:pPr>
        <w:spacing w:line="360" w:lineRule="auto" w:before="60" w:after="60"/>
        <w:ind w:firstLine="480"/>
      </w:pPr>
      <w:r>
        <w:t xml:space="preserve">（三）住建委强化行业监管及安全生产管理工作。一是强化房屋租赁领域规范管理。一方面，深入宣传落实《住房租赁条例》，通过网站、社区公告栏等线上线下渠道广泛解读条例内容，明确租赁双方权利义务，引导各方严格遵守条例规定，规范住房租赁活动。另一方面，严格执行实名管理与合同备案制度，明确要求出租人和承租人必须实名签订住房租赁合同，督促住房租赁企业、中介机构履行身份核验义务，确保签约主体信息真实有效；同时，依托租赁管理服务平台，推动租赁合同全流程线上备案，指导租赁双方及时向租赁住房管理部门完成备案手续，对未落实实名要求、未按规定备案的主体依法依规处置，切实规范租赁市场秩序。二是抓实物业服务行业安全监管。督促物业服务企业完善安全生产管理制度，建立消防、电梯、防汛等突发事件应急预案；加强对物业服务企业安全生产工作的日常监督检查，聚焦小区消防设施维护、电梯运行安全、配电房管理等关键环节，排查整治安全隐患，对发现的问题建立台账、限期整改；对非职能范围的问题，及时上报相关单位并跟踪销号。三是健全行业执法监督机制。加大对房地产业生产经营单位的执法检查力度，对监督检查中发现的违法违规行为，依法依规严肃处，推动企业主动提升安全管理和规范运营水平，筑牢行业安全防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