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武清京清园天津海旺智能环保设备有限公司“7·5”一般高处坠落事故防范和整改措施落实情况的评估报告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原文链接：https://www.tjwq.gov.cn/zwgk/zfxxgk/wbj2/qyjj1/fdzdgknr22/zdmsxx22/aqsc22/202601/t20260128_7233308.html</w:t>
      </w:r>
    </w:p>
    <w:p>
      <w:pPr>
        <w:spacing w:before="20" w:after="20"/>
      </w:pPr>
      <w:r>
        <w:rPr>
          <w:color w:val="888888"/>
          <w:sz w:val="18"/>
        </w:rPr>
        <w:t xml:space="preserve">发布时间：2026-01-16　抓取时间：2026-10-06</w:t>
      </w:r>
    </w:p>
    <w:p/>
    <w:p>
      <w:pPr>
        <w:spacing w:line="360" w:lineRule="auto" w:before="60" w:after="60"/>
        <w:ind w:firstLine="480"/>
      </w:pPr>
      <w:r>
        <w:t xml:space="preserve"> </w:t>
      </w:r>
    </w:p>
    <w:p>
      <w:pPr>
        <w:spacing w:line="360" w:lineRule="auto" w:before="60" w:after="60"/>
        <w:ind w:firstLine="480"/>
      </w:pPr>
      <w:r>
        <w:t xml:space="preserve">2024年7月5日，在武清京清园（原京滨工业园）复元道13号院内，天津海旺智能环保设备有限公司发生一起高处坠落事故，致1人死亡。</w:t>
      </w:r>
    </w:p>
    <w:p>
      <w:pPr>
        <w:spacing w:line="360" w:lineRule="auto" w:before="60" w:after="60"/>
        <w:ind w:firstLine="480"/>
      </w:pPr>
      <w:r>
        <w:t xml:space="preserve">为充分发挥事故调查处理对加强和改进安全生产工作的促进作用，督促生产安全事故防范和整改措施有效落实，防范类似生产安全事故发生，最大程度保障人民群众生命安全，按照《中华人民共和国安全生产法》《天津市生产安全事故防范和整改措施落实情况评估办法》等有关规定，区安委会办公室组织开展了武清京清园天津海旺智能环保设备有限公司“7·5”一般高处坠落事故（以下简称“7·5”事故）防范和整改措施落实情况的评估工作，形成本报告。</w:t>
      </w:r>
    </w:p>
    <w:p>
      <w:pPr>
        <w:spacing w:line="360" w:lineRule="auto" w:before="60" w:after="60"/>
        <w:ind w:firstLine="480"/>
      </w:pPr>
      <w:r>
        <w:t xml:space="preserve">一、评估工作过程</w:t>
      </w:r>
    </w:p>
    <w:p>
      <w:pPr>
        <w:spacing w:line="360" w:lineRule="auto" w:before="60" w:after="60"/>
        <w:ind w:firstLine="480"/>
      </w:pPr>
      <w:r>
        <w:t xml:space="preserve">“7·5”事故已于2024年11月11日经区人民政府批复结案。按照“事故结案后一年内，负责事故调查的地方政府和有关部门要组织开展评估”的有关规定，区安委会办公室于2025年10月3日启动事故防范和整改措施落实情况的评估工作，成立评估组，区应急局、公安武清分局、区总工会、京清园（原京滨工业园）等单位作为评估工作组成员单位，按照分工开展评估工作。</w:t>
      </w:r>
    </w:p>
    <w:p>
      <w:pPr>
        <w:spacing w:line="360" w:lineRule="auto" w:before="60" w:after="60"/>
        <w:ind w:firstLine="480"/>
      </w:pPr>
      <w:r>
        <w:t xml:space="preserve">按照区安委办明确的任务分工，评估组采取资料审查、座谈问询、查阅文件、走访核查等方式，深入开展评估工作。对评估过程中发现的问题，及时向有关部门进行反馈，要求立即组织整改，形成了事故责任追究和整改措施落实情况的评估报告。</w:t>
      </w:r>
    </w:p>
    <w:p>
      <w:pPr>
        <w:spacing w:line="360" w:lineRule="auto" w:before="60" w:after="60"/>
        <w:ind w:firstLine="480"/>
      </w:pPr>
      <w:r>
        <w:t xml:space="preserve">二、总体评估意见</w:t>
      </w:r>
    </w:p>
    <w:p>
      <w:pPr>
        <w:spacing w:line="360" w:lineRule="auto" w:before="60" w:after="60"/>
        <w:ind w:firstLine="480"/>
      </w:pPr>
      <w:r>
        <w:t xml:space="preserve">总体上看，“7·5”事故相关责任单位及人员能够认真吸取事故教训，加强安全生产工作，较好地落实了“7·5”事故报告提出的有关处理意见及事故防范和整改措施。</w:t>
      </w:r>
    </w:p>
    <w:p>
      <w:pPr>
        <w:spacing w:line="360" w:lineRule="auto" w:before="60" w:after="60"/>
        <w:ind w:firstLine="480"/>
      </w:pPr>
      <w:r>
        <w:t xml:space="preserve">三、有关责任追究落实情况</w:t>
      </w:r>
    </w:p>
    <w:p>
      <w:pPr>
        <w:spacing w:line="360" w:lineRule="auto" w:before="60" w:after="60"/>
        <w:ind w:firstLine="480"/>
      </w:pPr>
      <w:r>
        <w:t xml:space="preserve">区应急管理局于2025年5月7日对天津海旺智能环保设备有限公司、王某某下达行政处罚决定书。因到期未履行缴纳义务，区应急局对天津海旺智能环保设备有限公司于2026年1月9日依法申请强制执行，王某某于2025年7月7日足额缴纳罚款。</w:t>
      </w:r>
    </w:p>
    <w:p>
      <w:pPr>
        <w:spacing w:line="360" w:lineRule="auto" w:before="60" w:after="60"/>
        <w:ind w:firstLine="480"/>
      </w:pPr>
      <w:r>
        <w:t xml:space="preserve">四、事故防范和整改措施落实情况</w:t>
      </w:r>
    </w:p>
    <w:p>
      <w:pPr>
        <w:spacing w:line="360" w:lineRule="auto" w:before="60" w:after="60"/>
        <w:ind w:firstLine="480"/>
      </w:pPr>
      <w:r>
        <w:t xml:space="preserve">为深刻吸取事故教训，有效避免类似事故的再次发生，相关单位坚持问题导向，举一反三，积极落实事故调查报告中提出的事故防范和整改措施。</w:t>
      </w:r>
    </w:p>
    <w:p>
      <w:pPr>
        <w:spacing w:line="360" w:lineRule="auto" w:before="60" w:after="60"/>
        <w:ind w:firstLine="480"/>
      </w:pPr>
      <w:r>
        <w:t xml:space="preserve">（一）天津海旺智能环保设备有限公司该企业已停止经营活动。</w:t>
      </w:r>
    </w:p>
    <w:p>
      <w:pPr>
        <w:spacing w:line="360" w:lineRule="auto" w:before="60" w:after="60"/>
        <w:ind w:firstLine="480"/>
      </w:pPr>
      <w:r>
        <w:t xml:space="preserve">（二）天津欧雅装饰材料科技发展有限公司自查自改、教育培训，落实安全生产同一协调管理职责。成立安全自查小组，针对防护设施、防护用品的配备及使用、设备运行、现场管理等情况，开展自查自改。对员工开展安全生产教育培训，主要以安全生产知识、操作技能、应急处置等方面开展培训，进一步强化安全生产责任意识。</w:t>
      </w:r>
    </w:p>
    <w:p>
      <w:pPr>
        <w:spacing w:line="360" w:lineRule="auto" w:before="60" w:after="60"/>
        <w:ind w:firstLine="480"/>
      </w:pPr>
      <w:r>
        <w:t xml:space="preserve">（三）京清园落实安全生产属地监管职责。一是组织相关部门召开事故分析会，研判管理漏洞，补齐工作短板。园区加大对事故企业的安全生产整治力度，将施工作业相关管理工作纳入日常检查工作重点，组织专家和第三方服务人员跟进检查。截至目前共检查企业384家次，出动检查人员768人次，督促企业及时落实隐患问题整改，加强对建筑施工、第三方施工、外委施工的监督管理工作。二是健全管理制度。园区针对第三方、外委施工等安全生产管理出台备案管理制度。园区对企业项目的施工单位资质、施工人员资质、施工方案等文件进行审核，确保企业外包施工单位具备相应的安全知识和管理能力。截至目前园区共审核、备案各类施工项目48项。三是强化培训教育。为有效防范类似事故发生，提升企业对施工方管理水平，今年对辖区内各类企业开展入企培训共18家次。园区组织人员对天津欧雅装饰材料科技发展有限公司开展了入企培训，有效强化了企业对外包施工安全管理和特种作业安全管理，增强了事故企业的安全防范意识，提高了企业安全管理水平。</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