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武清京津科技谷天津市茂海永泰纸制品有限公司“1·10”一般机械伤害事故防范和整改措施落实情况的评估报告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原文链接：https://www.tjwq.gov.cn/zwgk/zfxxgk/wbj2/qyjj1/fdzdgknr22/zdmsxx22/aqsc22/202604/t20260409_7278798.html</w:t>
      </w:r>
    </w:p>
    <w:p>
      <w:pPr>
        <w:spacing w:before="20" w:after="20"/>
      </w:pPr>
      <w:r>
        <w:rPr>
          <w:color w:val="888888"/>
          <w:sz w:val="18"/>
        </w:rPr>
        <w:t xml:space="preserve">发布时间：2026-04-08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2025年1月10日，位于京津科技谷嘉园道168号的天津市茂海永泰纸制品有限公司发生一起机械伤害事故，造成1人死亡。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有关规定，区安委会办公室组织开展了武清京津科技谷天津市茂海永泰纸制品有限公司“1·10”一般机械伤害事故（以下简称“1·10”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1·10”事故已于2025年3月11日经区人民政府批复结案。按照“事故结案后一年内，负责事故调查的地方政府和有关部门要组织开展评估”的有关规定，区安委会办公室于2026年2月27日启动事故防范和整改措施落实情况的评估工作，成立评估组，区应急管理局、公安武清分局、区总工会、京津科技谷等单位作为评估工作组成员单位，按照分工开展评估工作。</w:t>
      </w:r>
    </w:p>
    <w:p>
      <w:pPr>
        <w:spacing w:line="360" w:lineRule="auto" w:before="60" w:after="60"/>
        <w:ind w:firstLine="480"/>
      </w:pPr>
      <w:r>
        <w:t xml:space="preserve">按照区安委办明确的任务分工，评估组采取资料审查、座谈问询、查阅文件、走访核查等方式，深入开展评估工作。对评估过程中发现的问题，及时向有关部门进行反馈，要求立即组织整改，形成了事故责任追究和整改措施落实情况的评估报告。</w:t>
      </w:r>
    </w:p>
    <w:p>
      <w:pPr>
        <w:spacing w:line="360" w:lineRule="auto" w:before="60" w:after="60"/>
        <w:ind w:firstLine="480"/>
      </w:pPr>
      <w:r>
        <w:t xml:space="preserve">二、总体评估意见</w:t>
      </w:r>
    </w:p>
    <w:p>
      <w:pPr>
        <w:spacing w:line="360" w:lineRule="auto" w:before="60" w:after="60"/>
        <w:ind w:firstLine="480"/>
      </w:pPr>
      <w:r>
        <w:t xml:space="preserve">总体上看，“1·10”事故相关责任单位及人员能够认真吸取事故教训，加强安全生产工作，较好地落实了“1·10”事故报告提出的有关处理意见及事故防范和整改措施。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区应急管理局于2025年3月31日对天津市茂海永泰纸制品有限公司、郑灼燕下达行政处罚决定书。天津市茂海永泰纸制品有限公司于2025年3月31日足额缴纳罚款，郑灼燕于2025年3月31日足额缴纳罚款。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天津市茂海永泰纸制品有限公司已吸取事故教训，按照事故调查报告提出的整改措施进行整改。一是压实安全生产主体责任，全面修订安全生产责任制，明确法定代表人、主要负责人、安全管理人员、车间班组及岗位员工的安全职责，完善安全生产管理制度、设备安全操作规程、危险作业审批制度，形成法定代表人或主要负责人负总责、安全管理人员具体抓、岗位员工严执行的责任链条；二是强化机械设备本质安全管控，对生产车间所有纸制品加工机械设备开展全覆盖隐患排查，重点整改传动部位防护缺失、安全装置失效、违规操作等问题，为所有机械传动、旋转部位加装固定式防护罩，修复并校验紧急停止装置，划定设备安全作业警示区；三是规范作业现场安全管理，严格执行机械作业“停机操作、专人监护、持证上岗”要求，严禁未停机清理、违规跨越设备、拆除防护装置等行为，优化车间作业布局，畅通安全通道，规范物料堆放，消除现场杂乱引发的操作风险。</w:t>
      </w:r>
    </w:p>
    <w:p>
      <w:pPr>
        <w:spacing w:line="360" w:lineRule="auto" w:before="60" w:after="60"/>
        <w:ind w:firstLine="480"/>
      </w:pPr>
      <w:r>
        <w:t xml:space="preserve">（二）京津科技谷积极强化安全生产属地监管责任。一是深化安全教育培训，园区在2025年度召开专题警示教育大会4次，累计组织6场次专项培训，圆桌座谈会10余次，累计覆盖企业人员达2400余人次，通过深刻剖析事故原因、解读典型案例，强化全员安全敬畏心；二是完善应急处置机制，重新修订并完善园区生产事故应急预案，明确应急响应、伤员救治、现场处置等关键流程，组织辖区企业机械伤害应急演练3次，指导企业开展自主演练20余次，提升多方协同处置能力；三是强化园区监管职责，加强对园区企业安全生产日常监管，增加对机械加工、制造等高危行业的检查频次，推行“专家+监管”检查模式，提升隐患排查专业性，建立事故整改“回头看”机制，对整改不到位、责任不落实的企业依法依规处置，推动监管从“事后查处”向“事前预防”转变。</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2026年3月24日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