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南邵镇麓鸣花园居住及公共服务设施项目二次供水工程“11·29”一般生产安全事故整改和防范措施落实专项评估报告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原文链接：https://www.bjchp.gov.cn/cpqzf/xxgk2671/zdlyxxgk57/aqyj/2144329/2025111809585328894/index.html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发布时间：2025-09-29　抓取时间：2026-09-30</w:t>
      </w:r>
    </w:p>
    <w:p/>
    <w:p>
      <w:pPr>
        <w:spacing w:line="360" w:lineRule="auto" w:before="60" w:after="60"/>
        <w:ind w:firstLine="480"/>
      </w:pPr>
      <w:r>
        <w:t xml:space="preserve">南邵镇麓鸣花园居住及公共服务设施项目二次供水工程“11·29”一般生产安全事故整改和防范措施落实专项评估报告.docx</w:t>
      </w:r>
    </w:p>
    <w:p>
      <w:pPr>
        <w:spacing w:line="360" w:lineRule="auto" w:before="60" w:after="60"/>
        <w:ind w:firstLine="480"/>
      </w:pPr>
      <w:r>
        <w:t xml:space="preserve"> 南邵镇麓鸣花园居住及公共服务设施项目二次供水工程“11·29”一般生产安全事故整改和防范措施落实专项评估报告.docx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