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重庆开州沐淋木材加工厂“9·17”一般 物体打击事故调查报告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原文链接：http://www.cqkz.gov.cn/kz/fzhggwyh_80662/zwgk_72016/fdzdgknr/yjgl/dcbg/202604/t20260401_15584131.html</w:t>
      </w:r>
    </w:p>
    <w:p>
      <w:pPr>
        <w:spacing w:before="20" w:after="20"/>
      </w:pPr>
      <w:r>
        <w:rPr>
          <w:color w:val="888888"/>
          <w:sz w:val="18"/>
        </w:rPr>
        <w:t xml:space="preserve">发布时间：2026-04-01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115002347365678786/2026-00023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2026-04-01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2026-04-01</w:t>
            </w:r>
          </w:p>
        </w:tc>
      </w:tr>
    </w:tbl>
    <w:p/>
    <w:p>
      <w:pPr>
        <w:spacing w:line="360" w:lineRule="auto" w:before="60" w:after="60"/>
        <w:ind w:firstLine="480"/>
      </w:pPr>
      <w:r>
        <w:t xml:space="preserve">重庆开州沐淋木材加工厂“9·17”一般 物体打击事故调查报告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png"/><Relationship Id="rIdImg11" Type="http://schemas.openxmlformats.org/officeDocument/2006/relationships/image" Target="media/image11.png"/></Relationships>
</file>