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北京城建道桥建设集团有限公司“11·14”一般起重伤害事故调查报告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原文链接：https://www.bjdx.gov.cn/bjsdxqrmzf/zwfw/zdly/aqscjg/2303077/index.html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北京城建道桥建设集团有限公司“11·14”一般起重伤害事故调查报告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日期：2026-03-11 17:10 打印 【字体：大中小】 </w:t>
      </w:r>
    </w:p>
    <w:p>
      <w:pPr>
        <w:spacing w:line="360" w:lineRule="auto" w:before="60" w:after="60"/>
        <w:ind w:firstLine="480"/>
      </w:pPr>
      <w:r>
        <w:t xml:space="preserve">北京城建道桥建设集团有限公司“11·14”一般起重伤害事故调查报告.pdf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jQuery.trim('北京城建道桥建设集团有限公司“11·14”一般起重伤害事故调查报告');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