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经事故调查组综合分析认定：本次事故是因施工作业人员安全意识淡薄，违反操作规程；生产经营者未履行安全生产主体责任，造成的一起生产安全责任事故。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原文链接：https://www.yunyang.gov.cn/bm_257/xyjj/zwgk_62088/jczfxxgk/jczwgk/aqsc_335787/xzgl/yjgl_335798/ydqk/202210/t20221028_11243030.html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