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云阳县金科·集美江悦“7·21”物体打击事故防范和整改措施落实情况评估报告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抓取时间：2026-10-14</w:t>
      </w:r>
    </w:p>
    <w:p/>
    <w:p>
      <w:pPr>
        <w:spacing w:line="360" w:lineRule="auto" w:before="60" w:after="60"/>
        <w:ind w:firstLine="480"/>
      </w:pPr>
      <w:r>
        <w:t xml:space="preserve">云阳县金科·集美江悦“7·21”物体打击事故防范和整改措施落实情况评估报告2021年7月21日6时许，金科·集美江悦地块二3号楼发生一起物体打击事故，造成1人死亡。事故发生后，按照《云阳县人民政府办公室关于成立云阳县金科·集美江悦“7·21”物体打击事故调查组的通知》（云阳府办发〔2021〕56号）要求，由县应急局牵头，组成由县公安局、县住房城乡建委、县总工会等单位参加的事故调查组。事故调查组本着“科学严谨、依法依规、实事求是、注重实效”和“一案双查”“三责同追”“四不放过”的原则展开全面调查并向县政府提交了事故调查报告，2021年10月9日县政府对事故调查报告进行了批复。根据国务院安委办《生产安全事故防范和整改措施落实情况评估办法》（安委办〔2021〕4号）“谁组织调查、谁负责评估”的原则，2022年12月1日，县应急局牵头成立云阳县金科·集美江悦“7·21”物体打击事故评估组，对事故防范和整改措施落实情况进行了评估。一、评估工作总体开展情况评估组严格按照《生产安全事故防范和整改措施落实情况评估办法》有关规定，对照《云阳县人民政府关于云阳县金科·集美江悦“7·21”物体打击事故调查报告的批复》提出的责任追究、事故防范和整改措施意见，采取资料审查、座谈问询、查阅文件、现场检查等方式，深入开展评估工作，并形成评估报告。二、责任追究评估（一）对相关责任单位的责任追究落实情况。1、重庆海博建设有限公司：县应急局依据《安全生产法》第一百零九条第（一）项于2021年10月26日向该公司下达行政处罚决定书（（云阳）应急罚〔2021〕12号），给予行政处罚罚款30万元。因该公司未在规定期限内履行罚款缴纳程序，县应急局于2021年11月16日向该公司下达罚款催缴通知书，在法定期限内该公司仍未缴纳罚款，目前县应急局已提交相关资料，移送云阳县人民法院申请强制执行。2、重庆市永安工程建设监理有限公司：县住建委于2021年9月1日对重庆市永安工程建设建立有限公司下达行政处罚罚款3万元（（云）住建罚〔2021〕第33号），该笔罚款已在2021年9月16日已缴清。（二）对相关责任人员的责任追究落实情况。1、陈**：事故工程施工员。县应急局根据《中华人民共和国刑事诉讼法》的规定，已于2021年10月19日移交案件相关资料至云阳县公安局予追究刑事责任。2、田**：事故工地项目经理。县应急局依据《安全生产法》第九十二条第（一）项于2021年10月25日向其下达行政处罚决定书（（云阳）应急罚〔2021〕12-1号），给予行政处罚罚款2.88万元。该笔罚款已在2022年6月2日缴清。三、事故防范和整改措施落实情况（一）重庆海博建设有限公司：深刻汲取本事故教训，认真梳理当前安全管理存在的问题，切实采取安全防范措施落实整改。一是建立、健全并落实安全生产责任制，明确划分三级人员的安全生产责任，建立安全风险分级管控和隐患排查预防双重工作机制，健全安全检查、领导带班、隐患排查治理等各项制度；二是印发安全资金投入计划保证安全生产投入，为职工购置建工险等险种，制定职业病预防计划，采购劳动防护用品，开展职工体检等，切实保障职工利益；三是规范公司安全管理制度，任命专职安全管理人员，杜绝无证上岗现象；四是开展安全标准化自评工作，提升企业安全标准化管理水平。（二）县住建委：一是事故发生后责令工地停工整改15天，并安排专人督促施工单位全面排查施工现场安全隐患和问题；二是对事故发生工地项目经理田兴蓉按照《重庆市建筑施工项目经理质量安全违法违规行为计分管理实施细则》一次性扣12分；三是依据《重庆市建筑管理条例》相关规定对重庆海博建设有限公司罚款10万元，该笔罚款已缴清；依据《重庆市建设工程安全生产管理办法》相关规定对重庆市永安工程建设监理有限公司罚款3万元，该笔罚款已缴清；四是对监理公司项目总监工程师陈克明进行了警示约谈。四、评估意见经评估组综合认定，重庆海博建设有限公司和县住建委等单位认真吸取了此次事故教训，落实了《云阳县人民政府关于云阳县金科·集美江悦“7·21”物体打击事故调查报告的批复》中有关事故防范措施的各项要求，整改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