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济南智威桥隧工程劳务有限公司 “3·8”一般物体打击事故调查报告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原文链接：http://www.zhongxian.gov.cn/zwgk_156/fdzdgknr/yjgl/zhsgdcpg/dcbg/202605/t20260529_15715699.html</w:t>
      </w:r>
    </w:p>
    <w:p>
      <w:pPr>
        <w:spacing w:before="20" w:after="20"/>
      </w:pPr>
      <w:r>
        <w:rPr>
          <w:color w:val="888888"/>
          <w:sz w:val="18"/>
        </w:rPr>
        <w:t xml:space="preserve">发布时间：2026-05-29　抓取时间：2026-09-29</w:t>
      </w:r>
    </w:p>
    <w:p/>
    <w:p>
      <w:pPr>
        <w:pStyle w:val="Heading1"/>
      </w:pPr>
      <w:r>
        <w:t xml:space="preserve">济南智威桥隧工程劳务有限公司 “3·8”一般物体打击事故调查报告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2023年3月8日上午9时35分，济南智威桥隧工程劳务有限公司在进行模板拼装过程中，发生一起物体打击生产安全事故，造成1人死亡，直接经济损失约125万元。</w:t>
      </w:r>
    </w:p>
    <w:p>
      <w:pPr>
        <w:spacing w:line="360" w:lineRule="auto" w:before="60" w:after="60"/>
        <w:ind w:firstLine="480"/>
      </w:pPr>
      <w:r>
        <w:t xml:space="preserve">事故发生后，根据《中华人民共和国安全生产法》、《生产安全事故报告和调查处理条例》（国务院493号令）、《重庆市安全生产条例》之规定和县政府（忠府〔2019〕44号）授权，由县应急管理局牵头，县公安局、县住建委、县总工会、县交通局、忠州街道组成的济南智威桥隧工程劳务有限公司“3·8”物体打击事故调查组（以下简称事故调查组），并邀请县检察院、县纪委监委派员参加。</w:t>
      </w:r>
    </w:p>
    <w:p>
      <w:pPr>
        <w:spacing w:line="360" w:lineRule="auto" w:before="60" w:after="60"/>
        <w:ind w:firstLine="480"/>
      </w:pPr>
      <w:r>
        <w:t xml:space="preserve">调查组按照“科学严谨、依法依规、实事求是、注重实效”的要求和“一案双查”、“三责同追”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本次事故是一起由于济南智威桥隧工程劳务有限公司安全管理不到位，事故隐患排查不彻底造成的一起生产安全责任事故，事故等级为一般事故。</w:t>
      </w: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