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米东铁厂沟新疆昌焰气体制造有限公司“11·21“一般其他伤害事故调查报告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原文链接：http://www.xjmd.gov.cn/P/C/32846.htm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抓取时间：2026-10-20</w:t>
      </w:r>
    </w:p>
    <w:p/>
    <w:p>
      <w:pPr>
        <w:pStyle w:val="Heading1"/>
      </w:pPr>
      <w:r>
        <w:t xml:space="preserve">米东铁厂沟新疆昌焰气体制造有限公司“11·21“一般其他伤害事故调查报告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2025-07-25 16:07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米东铁厂沟新疆昌焰气体制造有限公司“11·21“一般其他伤害事故调查报告.doc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