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西城区大吉危改小区“10·30”一般生产安全事故调查报告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原文链接：https://www.safetybd.cn/csd-view/reportDetail?reportId=6798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陶然亭街道大吉危改小区二期B地块施工现场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四川省国程劳务有限责任公司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中国,北京,北京市,西城区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2023年10月30日11时许，西城区陶然亭街道大吉危改小区二期B地块施工现场发生一起物体打击受伤事故，造成劳务分包单位四川省国程劳务有限责任公司木工龚某在施工过程中受外力碰撞导致坠落被钢筋扎伤。</w:t>
      </w:r>
    </w:p>
    <w:p>
      <w:pPr>
        <w:pStyle w:val="Heading1"/>
        <w:spacing w:line="360" w:lineRule="auto"/>
      </w:pPr>
      <w:r>
        <w:rPr/>
        <w:t xml:space="preserve">三、调查报告正文</w:t>
      </w:r>
    </w:p>
    <w:p>
      <w:pPr>
        <w:spacing w:line="360" w:lineRule="auto"/>
      </w:pPr>
      <w:r>
        <w:rPr>
          <w:b/>
          <w:sz w:val="24"/>
        </w:rPr>
        <w:t xml:space="preserve">（一）相关单位情况</w:t>
      </w:r>
    </w:p>
    <w:p>
      <w:pPr>
        <w:ind w:firstLineChars="200"/>
        <w:spacing w:line="360" w:lineRule="auto"/>
      </w:pPr>
      <w:r>
        <w:rPr/>
        <w:t xml:space="preserve">建设单位：北京中信房地产有限公司。信用代码：91110102745486236U。企业类型：有限责任公司(外商投资企业法人独资)。经营范围：房地产开发；销售自行开发后的商品房；自有房屋的物业管理；公共停车场管理服务。</w:t>
      </w:r>
    </w:p>
    <w:p>
      <w:pPr>
        <w:ind w:firstLineChars="200"/>
        <w:spacing w:line="360" w:lineRule="auto"/>
      </w:pPr>
      <w:r>
        <w:rPr/>
        <w:t xml:space="preserve">总包单位：中海建设管理（天津）有限公司（曾用名：中建国际建设发展（天津）有限公司）。信用代码：91120118MA0729UF2F。企业类型：有限责任公司(法人独资)。经营范围:工程管理服务；建筑材料销售；劳务服务（不含劳务派遣）；市政设施管理；住宅室内装饰装修。许可项目：建设工程施工；建设工程设计。</w:t>
      </w:r>
    </w:p>
    <w:p>
      <w:pPr>
        <w:ind w:firstLineChars="200"/>
        <w:spacing w:line="360" w:lineRule="auto"/>
      </w:pPr>
      <w:r>
        <w:rPr/>
        <w:t xml:space="preserve">劳务分包单位：四川省国程劳务有限责任公司。信用代码：91511324738320035Y。企业类型：有限责任公司(自然人投资或控股)。经营范围:施工劳务、模板脚手架专业承包。</w:t>
      </w:r>
    </w:p>
    <w:p>
      <w:pPr>
        <w:ind w:firstLineChars="200"/>
        <w:spacing w:line="360" w:lineRule="auto"/>
      </w:pPr>
      <w:r>
        <w:rPr/>
        <w:t xml:space="preserve">设备租赁单位：北京天润伟业建筑机械租赁有限公司。信用代码：91110107675714693M。企业类型：有限责任公司(自然人投资或控股)。经营范围:建筑机械设备租赁；销售机械设备、电器设备、五金交电（不包含电动自行车）、建筑材料、装饰材料、电子产品；技术开发、技术服务；人力资源服务；施工总承包；劳务分包；专业承包。</w:t>
      </w:r>
    </w:p>
    <w:p>
      <w:pPr>
        <w:ind w:firstLineChars="200"/>
        <w:spacing w:line="360" w:lineRule="auto"/>
      </w:pPr>
      <w:r>
        <w:rPr/>
        <w:t xml:space="preserve">监理单位：中科华信（北京）工程咨询有限公司。信用代码:91110108730537424Q。企业类型：有限责任公司(法人独资)经营范围：建设工程监理；工程造价咨询业务；建设工程设计；建设工程勘察；工程管理服务；招投标代理服务；采购代理服务；政府采购代理服务；信息技术咨询服务；企业管理咨询；技术服务、技术开发、技术咨询、技术交流、技术转让、技术推广；工程技术服务（规划管理、勘察、设计、监理除外）。</w:t>
      </w:r>
    </w:p>
    <w:p>
      <w:pPr>
        <w:ind w:firstLineChars="200"/>
        <w:spacing w:line="360" w:lineRule="auto"/>
      </w:pPr>
      <w:r>
        <w:rPr/>
        <w:t xml:space="preserve">原监理单位：中科金石（北京）工程咨询有限公司。信用代码:91110106697673132N。企业类型：有限责任公司(法人独资)。经营范围：工程项目管理；工程技术咨询；工程监理。</w:t>
      </w:r>
    </w:p>
    <w:p>
      <w:pPr>
        <w:spacing w:line="360" w:lineRule="auto"/>
      </w:pPr>
      <w:r>
        <w:rPr>
          <w:b/>
          <w:sz w:val="24"/>
        </w:rPr>
        <w:t xml:space="preserve">（二）合同签订情况</w:t>
      </w:r>
    </w:p>
    <w:p>
      <w:pPr>
        <w:ind w:firstLineChars="200"/>
        <w:spacing w:line="360" w:lineRule="auto"/>
      </w:pPr>
      <w:r>
        <w:rPr/>
        <w:t xml:space="preserve">2022年4月，建设单位北京中信房地产有限公司与原监理单位中科金石（北京）工程咨询有限公司签订《中信城B地块监理服务合同》。</w:t>
      </w:r>
    </w:p>
    <w:p>
      <w:pPr>
        <w:ind w:firstLineChars="200"/>
        <w:spacing w:line="360" w:lineRule="auto"/>
      </w:pPr>
      <w:r>
        <w:rPr/>
        <w:t xml:space="preserve">2022年9月22日，建设单位北京中信房地产有限公司与总包单位中建国际建设发展（天津）有限公司（现中海建设管理（天津）有限公司）签订《西城区大吉危改小区项目B地块项目停车库》施工合同。</w:t>
      </w:r>
    </w:p>
    <w:p>
      <w:pPr>
        <w:ind w:firstLineChars="200"/>
        <w:spacing w:line="360" w:lineRule="auto"/>
      </w:pPr>
      <w:r>
        <w:rPr/>
        <w:t xml:space="preserve">2022年12月29日，建设单位北京中信房地产有限公司与监理单位中科华信（北京）工程咨询有限公司和原监理单位中科金石（北京）工程咨询有限公司签订《中信城B地块监理服务合同》（原监理单位将资质平移现监理单位）。</w:t>
      </w:r>
    </w:p>
    <w:p>
      <w:pPr>
        <w:ind w:firstLineChars="200"/>
        <w:spacing w:line="360" w:lineRule="auto"/>
      </w:pPr>
      <w:r>
        <w:rPr/>
        <w:t xml:space="preserve">2023年3月，总包单位中建国际建设发展（天津）有限公司（现中海建设管理（天津）有限公司）与设备租赁单位北京天润伟业建筑机械租赁有限公司签订《北京市建筑施工设备服务合同》。</w:t>
      </w:r>
    </w:p>
    <w:p>
      <w:pPr>
        <w:ind w:firstLineChars="200"/>
        <w:spacing w:line="360" w:lineRule="auto"/>
      </w:pPr>
      <w:r>
        <w:rPr/>
        <w:t xml:space="preserve">2023年5月10日，总包单位中建国际建设发展（天津）有限公司（现中海建设管理（天津）有限公司）与劳务分包单位四川省国程劳务有限责任公司签订《劳务分包合同》。</w:t>
      </w:r>
    </w:p>
    <w:p>
      <w:pPr>
        <w:spacing w:line="360" w:lineRule="auto"/>
      </w:pPr>
      <w:r>
        <w:rPr>
          <w:b/>
          <w:sz w:val="24"/>
        </w:rPr>
        <w:t xml:space="preserve">（三）项目基本情况</w:t>
      </w:r>
    </w:p>
    <w:p>
      <w:pPr>
        <w:ind w:firstLineChars="200"/>
        <w:spacing w:line="360" w:lineRule="auto"/>
      </w:pPr>
      <w:r>
        <w:rPr/>
        <w:t xml:space="preserve">西城区大吉危改小区二期项目B地块，位于西城区菜市口大街和骡马市大街交口东南角，原址平房拆迁完毕，规划总建筑面积36万㎡，建筑高度45m，地下4层，使用功能为车库、商业、人防，地上11-12层，使用功能为商业、办公。</w:t>
      </w:r>
    </w:p>
    <w:p>
      <w:pPr>
        <w:ind w:firstLineChars="200"/>
        <w:spacing w:line="360" w:lineRule="auto"/>
      </w:pPr>
      <w:r>
        <w:rPr/>
        <w:t xml:space="preserve">事发位置属于项目停车库（含人防工程）工程，建设规模4.5万㎡，正处于地下结构施工阶段，事发地点位于地下一层。</w:t>
      </w:r>
    </w:p>
    <w:p>
      <w:pPr>
        <w:spacing w:line="360" w:lineRule="auto"/>
      </w:pPr>
      <w:r>
        <w:rPr>
          <w:b/>
          <w:sz w:val="24"/>
        </w:rPr>
        <w:t xml:space="preserve">（四）资料审核情况</w:t>
      </w:r>
    </w:p>
    <w:p>
      <w:pPr>
        <w:ind w:firstLineChars="200"/>
        <w:spacing w:line="360" w:lineRule="auto"/>
      </w:pPr>
      <w:r>
        <w:rPr/>
        <w:t xml:space="preserve">总包单位、劳务分包单位、设备租赁单位和监理单位施工现场安全管理制度、施工组织设计、专项施工方案、施工应急预案、安全生产管理协议书、施工安全消防治安协议书、工人安全技术交底、工人安全生产三级教育记录等资料齐全。</w:t>
      </w:r>
    </w:p>
    <w:p>
      <w:pPr>
        <w:spacing w:line="360" w:lineRule="auto"/>
      </w:pPr>
      <w:r>
        <w:rPr>
          <w:b/>
          <w:sz w:val="24"/>
        </w:rPr>
        <w:t xml:space="preserve">（五）施工手续办理情况</w:t>
      </w:r>
    </w:p>
    <w:p>
      <w:pPr>
        <w:ind w:firstLineChars="200"/>
        <w:spacing w:line="360" w:lineRule="auto"/>
      </w:pPr>
      <w:r>
        <w:rPr/>
        <w:t xml:space="preserve">市规划和自然资源委西城分局于2022年9月19日审批通过大吉危改小区二期项目B地块停车库（含人防工程）工程，颁发《工程规划许可证》〔2022规自（西）建字0010号〕；区城市住房建设委于2022年9月23日审批通过大吉危改小区二期项目B地块停车库（含人防工程）工程，《施工许可证》〔编号：110102202209230101〕。</w:t>
      </w:r>
    </w:p>
    <w:p>
      <w:pPr>
        <w:spacing w:line="360" w:lineRule="auto"/>
      </w:pPr>
      <w:r>
        <w:rPr>
          <w:b/>
          <w:sz w:val="24"/>
        </w:rPr>
        <w:t xml:space="preserve">（一）事故发生经过</w:t>
      </w:r>
    </w:p>
    <w:p>
      <w:pPr>
        <w:ind w:firstLineChars="200"/>
        <w:spacing w:line="360" w:lineRule="auto"/>
      </w:pPr>
      <w:r>
        <w:rPr/>
        <w:t xml:space="preserve">2023年10月30日，四川省国程劳务有限责任公司现场片区施工负责人潘某某安排各小组工作任务。上午10时30分许，工人龚某与工友周某某为节省施工时间随即提前备料（钢管），在其他班组午饭时间联系信号工张某某吊运钢管，张某某随即通知7#塔吊司机张某某从三十米外倒运钢管到E2F1西侧距离负一层顶板边2米处，此钢管为E2F1西侧墙体模板支设所用。钢管吊运过程中距离地面约1米左右时，龚某站在吊运钢管北侧，工人周某某站在南侧，11时许，吊运过程中钢管发生转动，龚某受外力碰撞后退约2米坠落至负一层，跌落高度约4米被钢筋扎伤。13时30分许，经宣武医院抢救无效后宣布死亡。</w:t>
      </w:r>
    </w:p>
    <w:p>
      <w:pPr>
        <w:spacing w:line="360" w:lineRule="auto"/>
      </w:pPr>
      <w:r>
        <w:rPr>
          <w:b/>
          <w:sz w:val="24"/>
        </w:rPr>
        <w:t xml:space="preserve">（二）事故救援情况</w:t>
      </w:r>
    </w:p>
    <w:p>
      <w:pPr>
        <w:ind w:firstLineChars="200"/>
        <w:spacing w:line="360" w:lineRule="auto"/>
      </w:pPr>
      <w:r>
        <w:rPr/>
        <w:t xml:space="preserve">事故发生后，11时15分许，同位置作业人员立即上报项目部并报110、119及120，项目部立即启动应急预案，消防救援车辆及救护车于11时30分许到达现场，现场处置后将伤者送往医院救治。</w:t>
      </w:r>
    </w:p>
    <w:p>
      <w:pPr>
        <w:ind w:firstLineChars="200"/>
        <w:spacing w:line="360" w:lineRule="auto"/>
      </w:pPr>
      <w:r>
        <w:rPr/>
        <w:t xml:space="preserve">政府接到事故报告后，区领导和区应急管理局、西城公安分局、区住建委、陶然亭街道办事处等单位立即赶赴现场现场成立应急指挥部，分工开展现场应急处置、死者家属安抚和善后理赔等工作。</w:t>
      </w:r>
    </w:p>
    <w:p>
      <w:pPr>
        <w:ind w:firstLineChars="200"/>
        <w:spacing w:line="360" w:lineRule="auto"/>
      </w:pPr>
      <w:r>
        <w:rPr/>
        <w:t xml:space="preserve">该起事故造成1人死亡（姓名：龚某，性别：男，年龄：52岁，户籍：四川省南充人，身份证号:XXXXXXXXXXXXXXXXXX，工种：木工）。</w:t>
      </w:r>
    </w:p>
    <w:p>
      <w:pPr>
        <w:ind w:firstLineChars="200"/>
        <w:spacing w:line="360" w:lineRule="auto"/>
      </w:pPr>
      <w:r>
        <w:rPr/>
        <w:t xml:space="preserve">直接经济损失约170万元。</w:t>
      </w:r>
    </w:p>
    <w:p>
      <w:pPr>
        <w:spacing w:line="360" w:lineRule="auto"/>
      </w:pPr>
      <w:r>
        <w:rPr>
          <w:b/>
          <w:sz w:val="24"/>
        </w:rPr>
        <w:t xml:space="preserve">（一）事故直接原因</w:t>
      </w:r>
    </w:p>
    <w:p>
      <w:pPr>
        <w:ind w:firstLineChars="200"/>
        <w:spacing w:line="360" w:lineRule="auto"/>
      </w:pPr>
      <w:r>
        <w:rPr/>
        <w:t xml:space="preserve">四川省国程劳务有限责任公司作为劳务分包单位，未健全并落实生产安全事故隐患排查治理制度，未采取安全管理措施，未及时按规定在E2F1西侧临边应设置密目式安全立网的临边安全防护；对从业人员教育不到位，现场管理人员、塔吊信号工安全生产意识淡薄，未严格按照有关规程操作是导致事故发生的直接原因。</w:t>
      </w:r>
    </w:p>
    <w:p>
      <w:pPr>
        <w:spacing w:line="360" w:lineRule="auto"/>
      </w:pPr>
      <w:r>
        <w:rPr>
          <w:b/>
          <w:sz w:val="24"/>
        </w:rPr>
        <w:t xml:space="preserve">（二）事故间接原因</w:t>
      </w:r>
    </w:p>
    <w:p>
      <w:pPr>
        <w:ind w:firstLineChars="200"/>
        <w:spacing w:line="360" w:lineRule="auto"/>
      </w:pPr>
      <w:r>
        <w:rPr/>
        <w:t xml:space="preserve">总包单位中海建设管理（天津）有限公司未健全并落实生产安全事故隐患排查治理制度，未及时发现并制止吊物冒险作业行为。监理单位中科华信（北京）工程咨询有限公司未切实履行监理职责，对已发现E2F1西侧临边安全防护隐患，只简单地下达了《现场隐患通知单》，未跟进督促施工单位隐患整改到位。</w:t>
      </w:r>
    </w:p>
    <w:p>
      <w:pPr>
        <w:spacing w:line="360" w:lineRule="auto"/>
      </w:pPr>
      <w:r>
        <w:rPr>
          <w:b/>
          <w:sz w:val="24"/>
        </w:rPr>
        <w:t xml:space="preserve">（三）事故性质</w:t>
      </w:r>
    </w:p>
    <w:p>
      <w:pPr>
        <w:ind w:firstLineChars="200"/>
        <w:spacing w:line="360" w:lineRule="auto"/>
      </w:pPr>
      <w:r>
        <w:rPr/>
        <w:t xml:space="preserve">该起事故属于一般生产安全责任事故。</w:t>
      </w:r>
    </w:p>
    <w:p>
      <w:pPr>
        <w:spacing w:line="360" w:lineRule="auto"/>
      </w:pPr>
      <w:r>
        <w:rPr>
          <w:b/>
          <w:sz w:val="24"/>
        </w:rPr>
        <w:t xml:space="preserve">（一）建议追究刑事责任的人员</w:t>
      </w:r>
    </w:p>
    <w:p>
      <w:pPr>
        <w:ind w:firstLineChars="200"/>
        <w:spacing w:line="360" w:lineRule="auto"/>
      </w:pPr>
      <w:r>
        <w:rPr/>
        <w:t xml:space="preserve">劳务分包单位四川省国程劳务有限责任公司信号工张某某在该起事故中负有直接责任，建议由西城公安分局以涉嫌重大责任事故罪将张某某刑事拘留。</w:t>
      </w:r>
    </w:p>
    <w:p>
      <w:pPr>
        <w:ind w:firstLineChars="200"/>
        <w:spacing w:line="360" w:lineRule="auto"/>
      </w:pPr>
      <w:r>
        <w:rPr/>
        <w:t xml:space="preserve">劳务分包单位四川省国程劳务有限责任公司现场片区施工负责人潘某某在该起事故中负有直接责任，建议由西城公安分局以涉嫌重大责任事故罪将潘某某刑事拘留。</w:t>
      </w:r>
    </w:p>
    <w:p>
      <w:pPr>
        <w:spacing w:line="360" w:lineRule="auto"/>
      </w:pPr>
      <w:r>
        <w:rPr>
          <w:b/>
          <w:sz w:val="24"/>
        </w:rPr>
        <w:t xml:space="preserve">（二）建议给予行政处罚的单位和人员</w:t>
      </w:r>
    </w:p>
    <w:p>
      <w:pPr>
        <w:ind w:firstLineChars="200"/>
        <w:spacing w:line="360" w:lineRule="auto"/>
      </w:pPr>
      <w:r>
        <w:rPr/>
        <w:t xml:space="preserve">1.总包单位中海建设管理（天津）有限公司对事故负有责任，建议由区应急管理局给予行政处罚30万-100万。</w:t>
      </w:r>
    </w:p>
    <w:p>
      <w:pPr>
        <w:ind w:firstLineChars="200"/>
        <w:spacing w:line="360" w:lineRule="auto"/>
      </w:pPr>
      <w:r>
        <w:rPr/>
        <w:t xml:space="preserve">建议由区住建委对该企业隐患问题进行立案处罚1-3万，并按住建系统行政处罚裁量标准进行计分。</w:t>
      </w:r>
    </w:p>
    <w:p>
      <w:pPr>
        <w:ind w:firstLineChars="200"/>
        <w:spacing w:line="360" w:lineRule="auto"/>
      </w:pPr>
      <w:r>
        <w:rPr/>
        <w:t xml:space="preserve">2.劳务分包单位四川省国程劳务有限责任公司对事故负有责任，建议由区应急管理局给予行政处罚30万-100万。</w:t>
      </w:r>
    </w:p>
    <w:p>
      <w:pPr>
        <w:ind w:firstLineChars="200"/>
        <w:spacing w:line="360" w:lineRule="auto"/>
      </w:pPr>
      <w:r>
        <w:rPr/>
        <w:t xml:space="preserve">3.监理单位中科华信（北京）工程咨询有限公司对事故负有责任，建议由区住建委对该企业进行立案处罚1-3万，并按住建系统行政处罚裁量标准进行计分。</w:t>
      </w:r>
    </w:p>
    <w:p>
      <w:pPr>
        <w:ind w:firstLineChars="200"/>
        <w:spacing w:line="360" w:lineRule="auto"/>
      </w:pPr>
      <w:r>
        <w:rPr/>
        <w:t xml:space="preserve">4.建议由区应急管理局对劳务分包单位四川省国程劳务有限责任公司法定代表人马某某的违法行为给予其2022年收入40%的罚款。</w:t>
      </w:r>
    </w:p>
    <w:p>
      <w:pPr>
        <w:spacing w:line="360" w:lineRule="auto"/>
      </w:pPr>
      <w:r>
        <w:rPr>
          <w:b/>
          <w:sz w:val="24"/>
        </w:rPr>
        <w:t xml:space="preserve">（三）建议追责问责的人员</w:t>
      </w:r>
    </w:p>
    <w:p>
      <w:pPr>
        <w:ind w:firstLineChars="200"/>
        <w:spacing w:line="360" w:lineRule="auto"/>
      </w:pPr>
      <w:r>
        <w:rPr/>
        <w:t xml:space="preserve">1.刘某，中海建设管理（天津）有限公司项目经理，建议由公司对其进行诫勉谈话，给予行政记过处分。</w:t>
      </w:r>
    </w:p>
    <w:p>
      <w:pPr>
        <w:ind w:firstLineChars="200"/>
        <w:spacing w:line="360" w:lineRule="auto"/>
      </w:pPr>
      <w:r>
        <w:rPr/>
        <w:t xml:space="preserve">2.代某某，中海建设管理（天津）有限公司项目执行经理，建议由公司对其进行诫勉谈话，给予行政记过处分。</w:t>
      </w:r>
    </w:p>
    <w:p>
      <w:pPr>
        <w:ind w:firstLineChars="200"/>
        <w:spacing w:line="360" w:lineRule="auto"/>
      </w:pPr>
      <w:r>
        <w:rPr/>
        <w:t xml:space="preserve">3.任某，中海建设管理（天津）有限公司项目安全员，建议由公司进行通报批评，给予行政记过处分。</w:t>
      </w:r>
    </w:p>
    <w:p>
      <w:pPr>
        <w:ind w:firstLineChars="200"/>
        <w:spacing w:line="360" w:lineRule="auto"/>
      </w:pPr>
      <w:r>
        <w:rPr/>
        <w:t xml:space="preserve">（一）总包单位中海建设管理（天津）有限公司要强化施工作业现场安全管理，应深刻汲取事故教训，举一反三，严格落实施工方案和安全技术交底内容，定期开展安全检查，发现问题立即整改，形成隐患整改闭环。</w:t>
      </w:r>
    </w:p>
    <w:p>
      <w:pPr>
        <w:ind w:firstLineChars="200"/>
        <w:spacing w:line="360" w:lineRule="auto"/>
      </w:pPr>
      <w:r>
        <w:rPr/>
        <w:t xml:space="preserve">（二）劳务分包单位四川省国程劳务有限责任公司要深刻吸取事故教训，严格落实企业安全生产主体责任，完善现场安全组织结构，建立完善隐患排查整改制度，加强施工现场管理和安全检查，严惩违规违章作业行为，切实加强安全生产教育培训，提升工人安全意识。</w:t>
      </w:r>
    </w:p>
    <w:p>
      <w:pPr>
        <w:ind w:firstLineChars="200"/>
        <w:spacing w:line="360" w:lineRule="auto"/>
      </w:pPr>
      <w:r>
        <w:rPr/>
        <w:t xml:space="preserve">（三）监理单位中科华信（北京）工程咨询有限公司要加大隐患排查治理力度，加强安全监管和隐患排查治理力度，对施工现场进行一次全面安全隐患排查，健全隐患排查台账和隐患整改方案，采取技术、管理措施及时消除存在的事故隐患，在隐患整改未形成闭环前，严禁施工作业。</w:t>
      </w:r>
    </w:p>
    <w:p>
      <w:pPr>
        <w:ind w:firstLineChars="200"/>
        <w:spacing w:line="360" w:lineRule="auto"/>
      </w:pPr>
      <w:r>
        <w:rPr/>
        <w:t xml:space="preserve">（四）区住建委要落实“三管三必须”的原则，压实行业监管（管理）责任，进一步加强对区内在建工程进行业务指导工作，开展全区施工现场安全执法检查工作，加强建设工程的监督管理工作，坚决查处有关违法违规行为，开展警示教育宣传，督促区内在建工程以案为鉴、举一反三，强化安全意识，压实各环节责任。</w:t>
      </w:r>
    </w:p>
    <w:p>
      <w:pPr>
        <w:ind w:firstLineChars="200"/>
        <w:spacing w:line="360" w:lineRule="auto"/>
      </w:pPr>
      <w:r>
        <w:rPr/>
        <w:t xml:space="preserve">（五）陶然亭街道办事处要切实加强属地监管责任，严格要求属地所辖企业及在建工程落实企业主体责任，同时加强安全检查工作，结合“街道吹哨、部门报到”的工作机制，开展专项联合检查，对问题突出的企业及在建工程进行通报批评，对发现的违法违规行为，依法移送相关部门进行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