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蜀衡铜业（重庆）有限公司“4·22”一般机械致害事故调查报告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来源：重庆市黔江区应急管理局　重庆市黔江区应急管理局·事故调查报告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原文链接：https://www.qianjiang.gov.cn/bmjd/xzfgzbm/qyjglj/zwgk_49221/fdzdgknr_49223/yjgl/zhsg/dcbg/202608/t20260821_15961322.html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抓取时间：2026-09-29</w:t>
      </w:r>
    </w:p>
    <w:p/>
    <w:p>
      <w:pPr>
        <w:spacing w:line="360" w:lineRule="auto" w:before="60" w:after="60"/>
        <w:ind w:firstLine="480"/>
      </w:pPr>
      <w:r>
        <w:t xml:space="preserve">蜀衡铜业（重庆）有限公司“4·22”</w:t>
      </w:r>
    </w:p>
    <w:p>
      <w:pPr>
        <w:spacing w:line="360" w:lineRule="auto" w:before="60" w:after="60"/>
        <w:ind w:firstLine="480"/>
      </w:pPr>
      <w:r>
        <w:t xml:space="preserve">一般机械致害事故调查报告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2026年4月22日，位于重庆市黔江区城南街道的蜀衡铜业（重庆）有限公司连铸连轧车间发生一起机械致害事故，造成1人死亡、1人受伤，直接经济损失初步估算约30万元。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（国务院令第493号）及《重庆市安全生产条例》等法律法规规定，经区政府授权，区应急局牵头成立了由区政府办公室、区公安局、区总工会等单位派员组成的蜀衡铜业（重庆）有限公司“4·22”一般机械致害事故调查组（以下简称“调查组”），并邀请区纪委监委机关、区检察院派员参加。</w:t>
      </w:r>
    </w:p>
    <w:p>
      <w:pPr>
        <w:spacing w:line="360" w:lineRule="auto" w:before="60" w:after="60"/>
        <w:ind w:firstLine="480"/>
      </w:pPr>
      <w:r>
        <w:t xml:space="preserve">按照“科学严谨、依法依规、实事求是、注重实效”和“四不放过”原则，事故调查组通过现场勘查、调查取证、查阅资料、询问有关人员，查明了事故经过、原因、应急处置、人员伤亡和直接经济损失等情况，认定了事故性质和责任，提出了对相关责任人的处理意见和事故防范措施建议，现将有关情况报告如下：</w:t>
      </w:r>
    </w:p>
    <w:p>
      <w:pPr>
        <w:spacing w:line="360" w:lineRule="auto" w:before="60" w:after="60"/>
        <w:ind w:firstLine="480"/>
      </w:pPr>
      <w:r>
        <w:t xml:space="preserve">经调查认定，这是一起因企业安全生产主体责任落实不到位、员工违章作业及设备带病运行而导致的一般生产安全责任事故。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