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Title"/>
      </w:pPr>
      <w:r>
        <w:t xml:space="preserve">重庆市万州区青松有害生物防治有限公司“3·20”一般高处坠落亡人事故防范和整改落实情况评估报告</w:t>
      </w:r>
    </w:p>
    <w:p>
      <w:pPr>
        <w:spacing w:before="20" w:after="20"/>
      </w:pPr>
      <w:r>
        <w:rPr>
          <w:color w:val="888888"/>
          <w:sz w:val="18"/>
        </w:rPr>
        <w:t xml:space="preserve">来源：重庆市渝中区应急管理局　重庆市渝中区应急管理局·事故调查报告</w:t>
      </w:r>
    </w:p>
    <w:p>
      <w:pPr>
        <w:spacing w:before="20" w:after="20"/>
      </w:pPr>
      <w:r>
        <w:rPr>
          <w:color w:val="888888"/>
          <w:sz w:val="18"/>
        </w:rPr>
        <w:t xml:space="preserve">原文链接：https://www.cqyz.gov.cn/bm_229/qyjj/zwgk_97157/fdzdgknr_97159/yjgl_109245/yjjydqk_9124/202506/t20250617_14719733.html</w:t>
      </w:r>
    </w:p>
    <w:p>
      <w:pPr>
        <w:spacing w:before="20" w:after="20"/>
      </w:pPr>
      <w:r>
        <w:rPr>
          <w:color w:val="888888"/>
          <w:sz w:val="18"/>
        </w:rPr>
        <w:t xml:space="preserve">发布时间：2025-06-17　抓取时间：2026-09-29</w:t>
      </w:r>
    </w:p>
    <w:p/>
    <w:p>
      <w:pPr>
        <w:spacing w:line="360" w:lineRule="auto" w:before="60" w:after="60"/>
        <w:ind w:firstLine="480"/>
      </w:pPr>
      <w:r>
        <w:t xml:space="preserve"> 您当前位置：  首页&gt;部门&gt;区应急管理局&gt;政务公开&gt;法定主动公开内容&gt;应急管理&gt;应对信息  </w:t>
      </w:r>
    </w:p>
    <w:p>
      <w:pPr>
        <w:spacing w:line="360" w:lineRule="auto" w:before="60" w:after="60"/>
        <w:ind w:firstLine="480"/>
      </w:pPr>
      <w:r>
        <w:t xml:space="preserve"> </w:t>
      </w:r>
    </w:p>
    <w:tbl>
      <w:tblPr>
        <w:tblW w:w="0" w:type="auto"/>
        <w:tblBorders>
          <w:top w:val="single" w:sz="4" w:color="999999"/>
          <w:left w:val="single" w:sz="4" w:color="999999"/>
          <w:bottom w:val="single" w:sz="4" w:color="999999"/>
          <w:right w:val="single" w:sz="4" w:color="999999"/>
          <w:insideH w:val="single" w:sz="4" w:color="999999"/>
          <w:insideV w:val="single" w:sz="4" w:color="999999"/>
        </w:tblBorders>
      </w:tblPr>
      <w:tr>
        <w:tc>
          <w:tcPr>
            <w:tcW w:w="1800" w:type="dxa"/>
            <w:vAlign w:val="center"/>
          </w:tcPr>
          <w:p>
            <w:pPr>
              <w:spacing w:before="40" w:after="40"/>
            </w:pPr>
            <w:r>
              <w:rPr>
                <w:b/>
                <w:bCs/>
              </w:rPr>
              <w:t xml:space="preserve">索引号</w:t>
            </w:r>
          </w:p>
        </w:tc>
        <w:tc>
          <w:tcPr>
            <w:tcW w:w="1800" w:type="dxa"/>
            <w:vAlign w:val="center"/>
          </w:tcPr>
          <w:p>
            <w:pPr>
              <w:spacing w:before="40" w:after="40"/>
            </w:pPr>
            <w:r>
              <w:rPr>
                <w:b/>
                <w:bCs/>
              </w:rPr>
              <w:t xml:space="preserve">11500103MB1937380K/2025-00054</w:t>
            </w:r>
          </w:p>
        </w:tc>
        <w:tc>
          <w:tcPr>
            <w:tcW w:w="1800" w:type="dxa"/>
            <w:vAlign w:val="center"/>
          </w:tcPr>
          <w:p>
            <w:pPr>
              <w:spacing w:before="40" w:after="40"/>
            </w:pPr>
            <w:r>
              <w:rPr>
                <w:b/>
                <w:bCs/>
              </w:rPr>
              <w:t xml:space="preserve">发布机构</w:t>
            </w:r>
          </w:p>
        </w:tc>
        <w:tc>
          <w:tcPr>
            <w:tcW w:w="1800" w:type="dxa"/>
            <w:vAlign w:val="center"/>
          </w:tcPr>
          <w:p>
            <w:pPr>
              <w:spacing w:before="40" w:after="40"/>
            </w:pPr>
            <w:r>
              <w:rPr>
                <w:b/>
                <w:bCs/>
              </w:rPr>
              <w:t xml:space="preserve">渝中区应急局</w:t>
            </w:r>
          </w:p>
        </w:tc>
      </w:tr>
      <w:tr>
        <w:tc>
          <w:tcPr>
            <w:tcW w:w="1800" w:type="dxa"/>
            <w:vAlign w:val="center"/>
          </w:tcPr>
          <w:p>
            <w:pPr>
              <w:spacing w:before="40" w:after="40"/>
            </w:pPr>
            <w:r>
              <w:rPr/>
              <w:t xml:space="preserve">成文日期</w:t>
            </w:r>
          </w:p>
        </w:tc>
        <w:tc>
          <w:tcPr>
            <w:tcW w:w="1800" w:type="dxa"/>
            <w:vAlign w:val="center"/>
          </w:tcPr>
          <w:p>
            <w:pPr>
              <w:spacing w:before="40" w:after="40"/>
            </w:pPr>
            <w:r>
              <w:rPr/>
              <w:t xml:space="preserve">2025-06-09</w:t>
            </w:r>
          </w:p>
        </w:tc>
        <w:tc>
          <w:tcPr>
            <w:tcW w:w="1800" w:type="dxa"/>
            <w:vAlign w:val="center"/>
          </w:tcPr>
          <w:p>
            <w:pPr>
              <w:spacing w:before="40" w:after="40"/>
            </w:pPr>
            <w:r>
              <w:rPr/>
              <w:t xml:space="preserve">发布日期</w:t>
            </w:r>
          </w:p>
        </w:tc>
        <w:tc>
          <w:tcPr>
            <w:tcW w:w="1800" w:type="dxa"/>
            <w:vAlign w:val="center"/>
          </w:tcPr>
          <w:p>
            <w:pPr>
              <w:spacing w:before="40" w:after="40"/>
            </w:pPr>
            <w:r>
              <w:rPr/>
              <w:t xml:space="preserve">2025-06-17</w:t>
            </w:r>
          </w:p>
        </w:tc>
        <w:tc>
          <w:tcPr>
            <w:tcW w:w="1800" w:type="dxa"/>
            <w:vAlign w:val="center"/>
          </w:tcPr>
          <w:p>
            <w:pPr>
              <w:spacing w:before="40" w:after="40"/>
            </w:pPr>
            <w:r>
              <w:rPr/>
              <w:t xml:space="preserve">主题分类</w:t>
            </w:r>
          </w:p>
        </w:tc>
        <w:tc>
          <w:tcPr>
            <w:tcW w:w="1800" w:type="dxa"/>
            <w:vAlign w:val="center"/>
          </w:tcPr>
          <w:p>
            <w:pPr>
              <w:spacing w:before="40" w:after="40"/>
            </w:pPr>
            <w:r>
              <w:rPr/>
              <w:t xml:space="preserve">安全生产监管</w:t>
            </w:r>
          </w:p>
        </w:tc>
      </w:tr>
      <w:tr>
        <w:tc>
          <w:tcPr>
            <w:tcW w:w="1800" w:type="dxa"/>
            <w:vAlign w:val="center"/>
          </w:tcPr>
          <w:p>
            <w:pPr>
              <w:spacing w:before="40" w:after="40"/>
            </w:pPr>
            <w:r>
              <w:rPr/>
              <w:t xml:space="preserve">体裁分类</w:t>
            </w:r>
          </w:p>
        </w:tc>
        <w:tc>
          <w:tcPr>
            <w:tcW w:w="1800" w:type="dxa"/>
            <w:vAlign w:val="center"/>
          </w:tcPr>
          <w:p>
            <w:pPr>
              <w:spacing w:before="40" w:after="40"/>
            </w:pPr>
            <w:r>
              <w:rPr/>
              <w:t xml:space="preserve">行政监管</w:t>
            </w:r>
          </w:p>
        </w:tc>
        <w:tc>
          <w:tcPr>
            <w:tcW w:w="1800" w:type="dxa"/>
            <w:vAlign w:val="center"/>
          </w:tcPr>
          <w:p>
            <w:pPr>
              <w:spacing w:before="40" w:after="40"/>
            </w:pPr>
            <w:r>
              <w:rPr/>
              <w:t xml:space="preserve">发文字号</w:t>
            </w:r>
          </w:p>
        </w:tc>
        <w:tc>
          <w:tcPr>
            <w:tcW w:w="1800" w:type="dxa"/>
            <w:vAlign w:val="center"/>
          </w:tcPr>
          <w:p>
            <w:pPr>
              <w:spacing w:before="40" w:after="40"/>
            </w:pPr>
            <w:r>
              <w:rPr/>
              <w:t xml:space="preserve"/>
            </w:r>
          </w:p>
        </w:tc>
        <w:tc>
          <w:tcPr>
            <w:tcW w:w="1800" w:type="dxa"/>
            <w:vAlign w:val="center"/>
          </w:tcPr>
          <w:p>
            <w:pPr>
              <w:spacing w:before="40" w:after="40"/>
            </w:pPr>
            <w:r>
              <w:rPr/>
              <w:t xml:space="preserve">有效性</w:t>
            </w:r>
          </w:p>
        </w:tc>
        <w:tc>
          <w:tcPr>
            <w:tcW w:w="1800" w:type="dxa"/>
            <w:vAlign w:val="center"/>
          </w:tcPr>
          <w:p>
            <w:pPr>
              <w:spacing w:before="40" w:after="40"/>
            </w:pPr>
            <w:r>
              <w:rPr/>
              <w:t xml:space="preserve"/>
            </w:r>
          </w:p>
        </w:tc>
      </w:tr>
    </w:tbl>
    <w:p/>
    <w:tbl>
      <w:tblPr>
        <w:tblW w:w="0" w:type="auto"/>
        <w:tblBorders>
          <w:top w:val="single" w:sz="4" w:color="999999"/>
          <w:left w:val="single" w:sz="4" w:color="999999"/>
          <w:bottom w:val="single" w:sz="4" w:color="999999"/>
          <w:right w:val="single" w:sz="4" w:color="999999"/>
          <w:insideH w:val="single" w:sz="4" w:color="999999"/>
          <w:insideV w:val="single" w:sz="4" w:color="999999"/>
        </w:tblBorders>
      </w:tblPr>
      <w:tr>
        <w:tc>
          <w:tcPr>
            <w:tcW w:w="1800" w:type="dxa"/>
            <w:vAlign w:val="center"/>
          </w:tcPr>
          <w:p>
            <w:pPr>
              <w:spacing w:before="40" w:after="40"/>
            </w:pPr>
            <w:r>
              <w:rPr>
                <w:b/>
                <w:bCs/>
              </w:rPr>
              <w:t xml:space="preserve">索引号</w:t>
            </w:r>
          </w:p>
        </w:tc>
        <w:tc>
          <w:tcPr>
            <w:tcW w:w="1800" w:type="dxa"/>
            <w:vAlign w:val="center"/>
          </w:tcPr>
          <w:p>
            <w:pPr>
              <w:spacing w:before="40" w:after="40"/>
            </w:pPr>
            <w:r>
              <w:rPr>
                <w:b/>
                <w:bCs/>
              </w:rPr>
              <w:t xml:space="preserve">11500103MB1937380K/2025-00054</w:t>
            </w:r>
          </w:p>
        </w:tc>
      </w:tr>
      <w:tr>
        <w:tc>
          <w:tcPr>
            <w:tcW w:w="1800" w:type="dxa"/>
            <w:vAlign w:val="center"/>
          </w:tcPr>
          <w:p>
            <w:pPr>
              <w:spacing w:before="40" w:after="40"/>
            </w:pPr>
            <w:r>
              <w:rPr/>
              <w:t xml:space="preserve">发布机构</w:t>
            </w:r>
          </w:p>
        </w:tc>
        <w:tc>
          <w:tcPr>
            <w:tcW w:w="1800" w:type="dxa"/>
            <w:vAlign w:val="center"/>
          </w:tcPr>
          <w:p>
            <w:pPr>
              <w:spacing w:before="40" w:after="40"/>
            </w:pPr>
            <w:r>
              <w:rPr/>
              <w:t xml:space="preserve">渝中区应急局</w:t>
            </w:r>
          </w:p>
        </w:tc>
      </w:tr>
      <w:tr>
        <w:tc>
          <w:tcPr>
            <w:tcW w:w="1800" w:type="dxa"/>
            <w:vAlign w:val="center"/>
          </w:tcPr>
          <w:p>
            <w:pPr>
              <w:spacing w:before="40" w:after="40"/>
            </w:pPr>
            <w:r>
              <w:rPr/>
              <w:t xml:space="preserve">主题分类</w:t>
            </w:r>
          </w:p>
        </w:tc>
        <w:tc>
          <w:tcPr>
            <w:tcW w:w="1800" w:type="dxa"/>
            <w:vAlign w:val="center"/>
          </w:tcPr>
          <w:p>
            <w:pPr>
              <w:spacing w:before="40" w:after="40"/>
            </w:pPr>
            <w:r>
              <w:rPr/>
              <w:t xml:space="preserve">安全生产监管</w:t>
            </w:r>
          </w:p>
        </w:tc>
      </w:tr>
      <w:tr>
        <w:tc>
          <w:tcPr>
            <w:tcW w:w="1800" w:type="dxa"/>
            <w:vAlign w:val="center"/>
          </w:tcPr>
          <w:p>
            <w:pPr>
              <w:spacing w:before="40" w:after="40"/>
            </w:pPr>
            <w:r>
              <w:rPr/>
              <w:t xml:space="preserve">成文日期</w:t>
            </w:r>
          </w:p>
        </w:tc>
        <w:tc>
          <w:tcPr>
            <w:tcW w:w="1800" w:type="dxa"/>
            <w:vAlign w:val="center"/>
          </w:tcPr>
          <w:p>
            <w:pPr>
              <w:spacing w:before="40" w:after="40"/>
            </w:pPr>
            <w:r>
              <w:rPr/>
              <w:t xml:space="preserve">2025-06-09</w:t>
            </w:r>
          </w:p>
        </w:tc>
      </w:tr>
      <w:tr>
        <w:tc>
          <w:tcPr>
            <w:tcW w:w="1800" w:type="dxa"/>
            <w:vAlign w:val="center"/>
          </w:tcPr>
          <w:p>
            <w:pPr>
              <w:spacing w:before="40" w:after="40"/>
            </w:pPr>
            <w:r>
              <w:rPr/>
              <w:t xml:space="preserve">发布日期</w:t>
            </w:r>
          </w:p>
        </w:tc>
        <w:tc>
          <w:tcPr>
            <w:tcW w:w="1800" w:type="dxa"/>
            <w:vAlign w:val="center"/>
          </w:tcPr>
          <w:p>
            <w:pPr>
              <w:spacing w:before="40" w:after="40"/>
            </w:pPr>
            <w:r>
              <w:rPr/>
              <w:t xml:space="preserve">2025-06-17</w:t>
            </w:r>
          </w:p>
        </w:tc>
      </w:tr>
      <w:tr>
        <w:tc>
          <w:tcPr>
            <w:tcW w:w="1800" w:type="dxa"/>
            <w:vAlign w:val="center"/>
          </w:tcPr>
          <w:p>
            <w:pPr>
              <w:spacing w:before="40" w:after="40"/>
            </w:pPr>
            <w:r>
              <w:rPr/>
              <w:t xml:space="preserve">体裁分类</w:t>
            </w:r>
          </w:p>
        </w:tc>
        <w:tc>
          <w:tcPr>
            <w:tcW w:w="1800" w:type="dxa"/>
            <w:vAlign w:val="center"/>
          </w:tcPr>
          <w:p>
            <w:pPr>
              <w:spacing w:before="40" w:after="40"/>
            </w:pPr>
            <w:r>
              <w:rPr/>
              <w:t xml:space="preserve">行政监管</w:t>
            </w:r>
          </w:p>
        </w:tc>
      </w:tr>
      <w:tr>
        <w:tc>
          <w:tcPr>
            <w:tcW w:w="1800" w:type="dxa"/>
            <w:vAlign w:val="center"/>
          </w:tcPr>
          <w:p>
            <w:pPr>
              <w:spacing w:before="40" w:after="40"/>
            </w:pPr>
            <w:r>
              <w:rPr/>
              <w:t xml:space="preserve">发文字号</w:t>
            </w:r>
          </w:p>
        </w:tc>
        <w:tc>
          <w:tcPr>
            <w:tcW w:w="1800" w:type="dxa"/>
            <w:vAlign w:val="center"/>
          </w:tcPr>
          <w:p>
            <w:pPr>
              <w:spacing w:before="40" w:after="40"/>
            </w:pPr>
            <w:r>
              <w:rPr/>
              <w:t xml:space="preserve"/>
            </w:r>
          </w:p>
        </w:tc>
      </w:tr>
      <w:tr>
        <w:tc>
          <w:tcPr>
            <w:tcW w:w="1800" w:type="dxa"/>
            <w:vAlign w:val="center"/>
          </w:tcPr>
          <w:p>
            <w:pPr>
              <w:spacing w:before="40" w:after="40"/>
            </w:pPr>
            <w:r>
              <w:rPr/>
              <w:t xml:space="preserve">有效性</w:t>
            </w:r>
          </w:p>
        </w:tc>
        <w:tc>
          <w:tcPr>
            <w:tcW w:w="1800" w:type="dxa"/>
            <w:vAlign w:val="center"/>
          </w:tcPr>
          <w:p>
            <w:pPr>
              <w:spacing w:before="40" w:after="40"/>
            </w:pPr>
            <w:r>
              <w:rPr/>
              <w:t xml:space="preserve"/>
            </w:r>
          </w:p>
        </w:tc>
      </w:tr>
    </w:tbl>
    <w:p/>
    <w:p>
      <w:pPr>
        <w:spacing w:line="360" w:lineRule="auto" w:before="60" w:after="60"/>
        <w:ind w:firstLine="480"/>
      </w:pPr>
      <w:r>
        <w:t xml:space="preserve"> 重庆市万州区青松有害生物防治有限公司“3·20”一般高处坠落亡人事故防范和整改落实情况评估报告 </w:t>
      </w:r>
    </w:p>
    <w:p>
      <w:pPr>
        <w:spacing w:line="360" w:lineRule="auto" w:before="60" w:after="60"/>
        <w:ind w:firstLine="480"/>
      </w:pPr>
      <w:r>
        <w:t xml:space="preserve">  大 中 小 </w:t>
      </w:r>
    </w:p>
    <w:p>
      <w:pPr>
        <w:spacing w:line="360" w:lineRule="auto" w:before="60" w:after="60"/>
        <w:ind w:firstLine="480"/>
      </w:pPr>
      <w:r>
        <w:t xml:space="preserve"> 打印  </w:t>
      </w:r>
    </w:p>
    <w:p>
      <w:pPr>
        <w:spacing w:line="360" w:lineRule="auto" w:before="60" w:after="60"/>
        <w:ind w:firstLine="480"/>
      </w:pPr>
      <w:r>
        <w:t xml:space="preserve"> 分享到       </w:t>
      </w:r>
    </w:p>
    <w:p>
      <w:pPr>
        <w:spacing w:line="360" w:lineRule="auto" w:before="60" w:after="60"/>
        <w:ind w:firstLine="480"/>
      </w:pPr>
      <w:br/>
    </w:p>
    <w:p>
      <w:pPr>
        <w:spacing w:line="360" w:lineRule="auto" w:before="60" w:after="60"/>
        <w:ind w:firstLine="480"/>
      </w:pPr>
      <w:r>
        <w:t xml:space="preserve">根据《国务院安委会办公室关于印发生产安全事故防范和整改措施落实情况评估办法的通知》要求，渝中区安委会办公室牵头组织对重庆市万州区青松有害生物防治有限公司“3·20”一般高处坠落亡人事故防范和整改落实情况进行了评估，形成了《重庆市万州区青松有害生物防治有限公司“3·20”一般高处坠落亡人事故防范和整改落实情况评估报告》，现将评估报告公开发布。</w:t>
      </w:r>
    </w:p>
    <w:p>
      <w:pPr>
        <w:spacing w:line="360" w:lineRule="auto" w:before="60" w:after="60"/>
        <w:ind w:firstLine="480"/>
      </w:pPr>
      <w:br/>
    </w:p>
    <w:p>
      <w:pPr>
        <w:spacing w:line="360" w:lineRule="auto" w:before="60" w:after="60"/>
        <w:ind w:firstLine="480"/>
      </w:pPr>
      <w:br/>
    </w:p>
    <w:p>
      <w:pPr>
        <w:spacing w:line="360" w:lineRule="auto" w:before="60" w:after="60"/>
        <w:ind w:firstLine="480"/>
      </w:pPr>
      <w:r>
        <w:t xml:space="preserve">重庆市渝中区安全生产委员会办公室</w:t>
      </w:r>
    </w:p>
    <w:p>
      <w:pPr>
        <w:spacing w:line="360" w:lineRule="auto" w:before="60" w:after="60"/>
        <w:ind w:firstLine="480"/>
      </w:pPr>
      <w:r>
        <w:t xml:space="preserve">2025年6月9日</w:t>
      </w:r>
    </w:p>
    <w:p>
      <w:pPr>
        <w:spacing w:line="360" w:lineRule="auto" w:before="60" w:after="60"/>
        <w:ind w:firstLine="480"/>
      </w:pPr>
      <w:br/>
    </w:p>
    <w:p>
      <w:pPr>
        <w:spacing w:line="360" w:lineRule="auto" w:before="60" w:after="60"/>
        <w:ind w:firstLine="480"/>
      </w:pPr>
      <w:r>
        <w:rPr>
          <w:b/>
          <w:bCs/>
        </w:rPr>
        <w:t xml:space="preserve">
          <w:br/>
        </w:t>
      </w:r>
    </w:p>
    <w:p>
      <w:pPr>
        <w:spacing w:line="360" w:lineRule="auto" w:before="60" w:after="60"/>
        <w:ind w:firstLine="480"/>
      </w:pPr>
      <w:r>
        <w:rPr>
          <w:b/>
          <w:bCs/>
        </w:rPr>
        <w:t xml:space="preserve">重庆市万州区青松有害生物防治有限公司“3·20”</w:t>
      </w:r>
    </w:p>
    <w:p>
      <w:pPr>
        <w:spacing w:line="360" w:lineRule="auto" w:before="60" w:after="60"/>
        <w:ind w:firstLine="480"/>
      </w:pPr>
      <w:r>
        <w:rPr>
          <w:b/>
          <w:bCs/>
        </w:rPr>
        <w:t xml:space="preserve">一般高处坠落亡人事故防范和整改</w:t>
      </w:r>
    </w:p>
    <w:p>
      <w:pPr>
        <w:spacing w:line="360" w:lineRule="auto" w:before="60" w:after="60"/>
        <w:ind w:firstLine="480"/>
      </w:pPr>
      <w:r>
        <w:rPr>
          <w:b/>
          <w:bCs/>
        </w:rPr>
        <w:t xml:space="preserve">落实情况评估报告</w:t>
      </w:r>
    </w:p>
    <w:p>
      <w:pPr>
        <w:spacing w:line="360" w:lineRule="auto" w:before="60" w:after="60"/>
        <w:ind w:firstLine="480"/>
      </w:pPr>
      <w:br/>
    </w:p>
    <w:p>
      <w:pPr>
        <w:spacing w:line="360" w:lineRule="auto" w:before="60" w:after="60"/>
        <w:ind w:firstLine="480"/>
      </w:pPr>
      <w:r>
        <w:t xml:space="preserve">2024年3月20日15时许，在重庆来福士住宅T5的L1架空层废水管疏通作业现场发生一起一般高处坠落亡人事故，导致1人死亡。</w:t>
      </w:r>
    </w:p>
    <w:p>
      <w:pPr>
        <w:spacing w:line="360" w:lineRule="auto" w:before="60" w:after="60"/>
        <w:ind w:firstLine="480"/>
      </w:pPr>
      <w:r>
        <w:t xml:space="preserve">事故发生后，区政府成立事故调查组，对该起事故开展调查，形成了《重庆市万州区青松有害生物防治有限公司“3·20”一般高处坠落亡人事故调查报告》（以下简称《调查报告》），并经区政府批复同意。按照区政府批复要求，区政府相关部门、涉事单位对照《调查报告》的处理建议和整改措施，开展相关工作。</w:t>
      </w:r>
    </w:p>
    <w:p>
      <w:pPr>
        <w:spacing w:line="360" w:lineRule="auto" w:before="60" w:after="60"/>
        <w:ind w:firstLine="480"/>
      </w:pPr>
      <w:r>
        <w:t xml:space="preserve">根据国务院安委办印发的《生产安全事故防范和整改措施落实情况评估办法》，区安委办组织区应急局、区公安分局、区总工会、区商务委组成“事故责任追究和整改措施落实情况评估组”（以下简称“评估组”），对该起事故责任追究和整改措施落实情况进行了核查评估，现将评估情况报告如下：</w:t>
      </w:r>
    </w:p>
    <w:p>
      <w:pPr>
        <w:spacing w:line="360" w:lineRule="auto" w:before="60" w:after="60"/>
        <w:ind w:firstLine="480"/>
      </w:pPr>
      <w:r>
        <w:t xml:space="preserve">一、评估工作开展情况</w:t>
      </w:r>
    </w:p>
    <w:p>
      <w:pPr>
        <w:spacing w:line="360" w:lineRule="auto" w:before="60" w:after="60"/>
        <w:ind w:firstLine="480"/>
      </w:pPr>
      <w:r>
        <w:t xml:space="preserve">评估组以《调查报告》为依据，按照“四不放过”和“科学严谨、依法依规、实事求是、注重实效”的原则，采取调阅事故原始档案、查阅相关文件资料和组织被评估单位开展自评等方式，对事故责任追究、事故预防及整改防范措施落实情况进行了综合评估，形成了评估意见。</w:t>
      </w:r>
    </w:p>
    <w:p>
      <w:pPr>
        <w:spacing w:line="360" w:lineRule="auto" w:before="60" w:after="60"/>
        <w:ind w:firstLine="480"/>
      </w:pPr>
      <w:r>
        <w:t xml:space="preserve">二、责任单位及人员责任追究落实情况</w:t>
      </w:r>
    </w:p>
    <w:p>
      <w:pPr>
        <w:spacing w:line="360" w:lineRule="auto" w:before="60" w:after="60"/>
        <w:ind w:firstLine="480"/>
      </w:pPr>
      <w:r>
        <w:t xml:space="preserve">区应急局根据区政府批复，依据《中华人民共和国安全生产法》第一百一十四条第一款第一项之规定，对重庆市万州区青松有害生物防治有限公司给予罚款50万元的行政处罚；依据《中华人民共和国安全生产法》第九十五条第一款第一项之规定，对重庆市万州区青松有害生物防治有限公司主要负责人向先林给予罚款2.4万元的行政处罚，目前罚款已缴纳到位。</w:t>
      </w:r>
    </w:p>
    <w:p>
      <w:pPr>
        <w:spacing w:line="360" w:lineRule="auto" w:before="60" w:after="60"/>
        <w:ind w:firstLine="480"/>
      </w:pPr>
      <w:r>
        <w:t xml:space="preserve">三、事故预防及整改防范措施落实情况</w:t>
      </w:r>
    </w:p>
    <w:p>
      <w:pPr>
        <w:spacing w:line="360" w:lineRule="auto" w:before="60" w:after="60"/>
        <w:ind w:firstLine="480"/>
      </w:pPr>
      <w:r>
        <w:t xml:space="preserve">1.重庆市万州区青松有害生物防治有限公司制定了整改措施，组织员工开展安全教育培训和施工前的安全技术交底，定期开展安全检查，做好了员工安全防护用品佩戴检查，主要负责人也开展了安全检查，未再发生类似事故。</w:t>
      </w:r>
    </w:p>
    <w:p>
      <w:pPr>
        <w:spacing w:line="360" w:lineRule="auto" w:before="60" w:after="60"/>
        <w:ind w:firstLine="480"/>
      </w:pPr>
      <w:r>
        <w:t xml:space="preserve">2.区住建委已督促物业服务企业加强对外包单位的安全管理，开展了各类作业活动的安全检查、巡查，指导辖区街道监督辖区物业管理活动，开展了“有事说是”警示教育活动。</w:t>
      </w:r>
    </w:p>
    <w:p>
      <w:pPr>
        <w:spacing w:line="360" w:lineRule="auto" w:before="60" w:after="60"/>
        <w:ind w:firstLine="480"/>
      </w:pPr>
      <w:r>
        <w:t xml:space="preserve">3.朝天门街道办事处做好了辖区物业服务企业履职情况督查检查，已开展“有事说是”警示教育活动和安全宣传教育。</w:t>
      </w:r>
    </w:p>
    <w:p>
      <w:pPr>
        <w:spacing w:line="360" w:lineRule="auto" w:before="60" w:after="60"/>
        <w:ind w:firstLine="480"/>
      </w:pPr>
      <w:r>
        <w:t xml:space="preserve">四、总体评估结论情况</w:t>
      </w:r>
    </w:p>
    <w:p>
      <w:pPr>
        <w:spacing w:line="360" w:lineRule="auto" w:before="60" w:after="60"/>
        <w:ind w:firstLine="480"/>
      </w:pPr>
      <w:r>
        <w:t xml:space="preserve">区应急局按照事故调查报告提出的处理建议，依法依规对事故负有责任单位和责任人立案查处，落实了行政处罚工作；区住建委、朝天门街道办事处按照整改防范措施要求，落实了相关工作。</w:t>
      </w:r>
    </w:p>
    <w:p>
      <w:pPr>
        <w:spacing w:line="360" w:lineRule="auto" w:before="60" w:after="60"/>
        <w:ind w:firstLine="480"/>
      </w:pPr>
      <w:r>
        <w:t xml:space="preserve">通过评估，《调查报告》中提出的各项处理建议和事故预防及整改防范措施均已落实到位。</w:t>
      </w:r>
    </w:p>
    <w:p>
      <w:pPr>
        <w:spacing w:line="360" w:lineRule="auto" w:before="60" w:after="60"/>
        <w:ind w:firstLine="480"/>
      </w:pPr>
      <w:r>
        <w:t xml:space="preserve">');</w:t>
      </w:r>
    </w:p>
    <w:p>
      <w:pPr>
        <w:spacing w:line="360" w:lineRule="auto" w:before="60" w:after="60"/>
        <w:ind w:firstLine="480"/>
      </w:pPr>
      <w:r>
        <w:t xml:space="preserve">');
            }
            $('iframe').attr("scrolling", "no")
            $(".page_survey").css("background-color", "#fff")</w:t>
      </w:r>
    </w:p>
    <w:p>
      <w:pPr>
        <w:spacing w:line="360" w:lineRule="auto" w:before="60" w:after="60"/>
        <w:ind w:firstLine="480"/>
      </w:pPr>
      <w:r>
        <w:t xml:space="preserve"> 文件下载：</w:t>
      </w:r>
    </w:p>
    <w:p>
      <w:pPr>
        <w:spacing w:line="360" w:lineRule="auto" w:before="60" w:after="60"/>
        <w:ind w:firstLine="480"/>
      </w:pPr>
        重庆市万州区青松有害生物防治有限公司“3·20”一般高处坠落亡人事故防范和整改落实情况评估报告.doc 
      <w:br/>
    </w:p>
    <w:p>
      <w:pPr>
        <w:spacing w:line="360" w:lineRule="auto" w:before="60" w:after="60"/>
        <w:ind w:firstLine="480"/>
      </w:pPr>
      <w:r>
        <w:t xml:space="preserve">扫一扫在手机打开当前页</w:t>
      </w: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