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浙江省诸暨市浙江海亮新材料有限公司“2•2”一般机械伤害事故调查报告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原文链接：https://www.zhuji.gov.cn/art/2023/4/23/art_1384123_59101750.html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发布时间：2023-04-23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法定主动公开内容 &gt;&gt; 安全生产 &gt;&gt; 事故快讯</w:t>
            </w:r>
          </w:p>
        </w:tc>
      </w:tr>
    </w:tbl>
    <w:p/>
    <w:p>
      <w:pPr>
        <w:pStyle w:val="Heading1"/>
      </w:pPr>
      <w:r>
        <w:t xml:space="preserve">浙江省诸暨市浙江海亮新材料有限公司“2•2”一般机械伤害事故调查报告</w:t>
      </w:r>
    </w:p>
    <w:p>
      <w:pPr>
        <w:spacing w:line="360" w:lineRule="auto" w:before="60" w:after="60"/>
        <w:ind w:firstLine="480"/>
      </w:pPr>
      <w:r>
        <w:t xml:space="preserve"> 发布时间：2023-04-23 18:36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全文链接：浙江省诸暨市浙江海亮新材料有限公司“2·2”一般机械伤害事故调查报告.pdf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