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关于转发鹿城双屿仰双片区双岙单元A-08地块“4·17”一般高处坠落事故调查报告的函</w:t>
      </w:r>
    </w:p>
    <w:p>
      <w:pPr>
        <w:spacing w:before="20" w:after="20"/>
      </w:pPr>
      <w:r>
        <w:rPr>
          <w:color w:val="888888"/>
          <w:sz w:val="18"/>
        </w:rPr>
        <w:t xml:space="preserve">来源：鹿城区应急管理局　温州市鹿城区·组织分项·公告公示(事故调查)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原文链接：https://www.lucheng.gov.cn/col/col1229891363/art/2024/art_836404527.html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发布时间：2024-09-20　抓取时间：2026-10-17</w:t>
      </w:r>
    </w:p>
    <w:p/>
    <w:p>
      <w:pPr>
        <w:spacing w:line="360" w:lineRule="auto" w:before="60" w:after="60"/>
        <w:ind w:firstLine="480"/>
      </w:pPr>
      <w:r>
        <w:t xml:space="preserve">各有关单位：</w:t>
      </w:r>
    </w:p>
    <w:p>
      <w:pPr>
        <w:spacing w:line="360" w:lineRule="auto" w:before="60" w:after="60"/>
        <w:ind w:firstLine="480"/>
      </w:pPr>
      <w:r>
        <w:t xml:space="preserve">《鹿城双屿仰双片区双岙单元A-08地块“4·17”一般高处坠落事故调查报告》（以下简称《调查报告》）已经鹿城区人民政府批复同意（温鹿政发〔2024〕72号），现转发给你们，请按照《调查报告》第三项“对有关责任人和责任单位的处理建议”和第四项“事故防范和整改措施建议”的要求，及时做好对事故单位和责任人的处理工作，抓好整改措施的落实，并将处理结果和整改措施落实情况于2024年10月20日前报送我局备案。</w:t>
      </w:r>
    </w:p>
    <w:p>
      <w:pPr>
        <w:spacing w:line="360" w:lineRule="auto" w:before="60" w:after="60"/>
        <w:ind w:firstLine="480"/>
      </w:pPr>
      <w:r>
        <w:t xml:space="preserve">附件：调查报告.pdf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温州市鹿城区应急管理局</w:t>
      </w:r>
    </w:p>
    <w:p>
      <w:pPr>
        <w:spacing w:line="360" w:lineRule="auto" w:before="60" w:after="60"/>
        <w:ind w:firstLine="480"/>
      </w:pPr>
      <w:r>
        <w:t xml:space="preserve">  2024年9月19日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