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余姚马渚宁波金驰机电有限公司“1·19”一般机械伤害事故调查报告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原文链接：https://www.yy.gov.cn/col/col1229895039/art/2026/art_8e075687223740ffb7438d9cbdf7ba3c.html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余姚马渚宁波金驰机电有限公司“1·19”一般机械伤害事故调查报告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37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1月19日20时04分许，位于余姚市马渚镇北祥路13号的宁波金驰机电有限公司生产车间内发生一起机械伤害事故，造成1人死亡，直接经济损失约143万元（不含事故罚款）。根据《生产安全事故报告和调查处理条例》（国务院令第493号）第十九条第二款、第二十二条等规定，经余姚市人民政府授权，由市应急管理局牵头，会同市公安局、市总工会、马渚镇人民政府等部门单位组成事故调查组，同时邀请市纪委市监委、市检察院派员参加，聘请安全领域专家参与事故调查工作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根据《生产安全事故报告和调查处理条例》（国务院令第493号） 第二条、第三条规定，经调查认定，宁波金驰机电有限公司“1·19”一般机械伤害事故是一起因员工安全意识不足，违反设备安全操作规程，在设备运行过程中进入机器内部；同时设备防护缺失，企业安全管理缺位造成的一般生产安全责任事故。余姚马渚宁波金驰机电有限公司“1·19”一般机械伤害事故调查报告.wps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[全文下载]：附件下载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