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秀洲油车港浙江煌上煌食品有限公司年产8000吨酱卤食品加工建设项目生产车间1～2层卫生间及更衣室装饰装修工程“8·2”一般触电事故调查报告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原文链接：https://www.xiuzhou.gov.cn/art/2024/12/17/art_1229411713_5425469.html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发布时间：2024-12-17　抓取时间：2026-10-17</w:t>
      </w:r>
    </w:p>
    <w:p/>
    <w:p>
      <w:pPr>
        <w:spacing w:line="360" w:lineRule="auto" w:before="60" w:after="60"/>
        <w:ind w:firstLine="480"/>
      </w:pPr>
      <w:r>
        <w:t xml:space="preserve">秀洲油车港浙江煌上煌食品有限公司年产8000吨酱卤食品加工建设项目生产车间1～2层卫生间及更衣室装饰装修工程“8·2”一般触电事故调查报告</w:t>
      </w:r>
    </w:p>
    <w:p>
      <w:pPr>
        <w:spacing w:line="360" w:lineRule="auto" w:before="60" w:after="60"/>
        <w:ind w:firstLine="480"/>
      </w:pPr>
      <w:r>
        <w:t xml:space="preserve">详见附件：秀洲油车港浙江煌上煌食品有限公司年产8000吨酱卤食品加工建设项目生产车间1～2层卫生间及更衣室装饰装修工程“8·2”一般触电事故调查报告.pdf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