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【图解】政策解读：关于牡丹江市阳明区 “11·1”亡人事故调查报告的批复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来源：牡丹江市阳明区应急管理部门　牡丹江市阳明区·事故调查报告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原文链接：https://www.yangming.gov.cn/mdjymqrmzf/c102149/202311/c03_929208.shtml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发布时间：2024-12-20　抓取时间：2026-10-17</w:t>
      </w:r>
    </w:p>
    <w:p/>
    <w:p>
      <w:pPr>
        <w:pStyle w:val="Heading1"/>
      </w:pPr>
      <w:r>
        <w:t xml:space="preserve">  【图解】政策解读：关于牡丹江市阳明区 “11·1”亡人事故调查报告的批复  </w:t>
      </w:r>
    </w:p>
    <w:p>
      <w:pPr>
        <w:pStyle w:val="Heading2"/>
      </w:pPr>
      <w:r>
        <w:t xml:space="preserve"> </w:t>
      </w:r>
    </w:p>
    <w:p>
      <w:pPr>
        <w:spacing w:line="360" w:lineRule="auto" w:before="60" w:after="60"/>
        <w:ind w:firstLine="480"/>
      </w:pPr>
       日期：
      <w:r>
        <w:rPr>
          <w:b/>
          <w:bCs/>
        </w:rPr>
        <w:t xml:space="preserve">2023-11-27 13:47</w:t>
      </w:r>
       来源：
      <w:r>
        <w:rPr>
          <w:b/>
          <w:bCs/>
        </w:rPr>
        <w:t xml:space="preserve">政府办</w:t>
      </w:r>
       访问量： 
    </w:p>
    <w:p>
      <w:pPr>
        <w:spacing w:line="360" w:lineRule="auto" w:before="60" w:after="60"/>
        <w:ind w:firstLine="480"/>
      </w:pPr>
       字号：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  分享到： 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824240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82424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原文链接：牡阳政发〔2023〕35号 关于牡丹江市阳明区 “11·1”亡人事故调查报告的批复   
    </w:p>
    <w:p>
      <w:pPr>
        <w:spacing w:line="360" w:lineRule="auto" w:before="60" w:after="60"/>
        <w:ind w:firstLine="480"/>
      </w:pPr>
      来源：
      <w:r>
        <w:rPr>
          <w:b/>
          <w:bCs/>
        </w:rPr>
        <w:t xml:space="preserve">政府办</w:t>
      </w:r>
    </w:p>
    <w:p>
      <w:pPr>
        <w:spacing w:line="360" w:lineRule="auto" w:before="60" w:after="60"/>
        <w:ind w:firstLine="480"/>
      </w:pPr>
      撰稿：
      <w:r>
        <w:rPr>
          <w:b/>
          <w:bCs/>
        </w:rPr>
        <w:t xml:space="preserve">政府办</w:t>
      </w:r>
    </w:p>
    <w:p>
      <w:pPr>
        <w:spacing w:line="360" w:lineRule="auto" w:before="60" w:after="60"/>
        <w:ind w:firstLine="480"/>
      </w:pPr>
      校对：
      <w:r>
        <w:rPr>
          <w:b/>
          <w:bCs/>
        </w:rPr>
        <w:t xml:space="preserve">政府办</w:t>
      </w:r>
    </w:p>
    <w:p>
      <w:pPr>
        <w:spacing w:line="360" w:lineRule="auto" w:before="60" w:after="60"/>
        <w:ind w:firstLine="480"/>
      </w:pPr>
      一审：
      <w:r>
        <w:rPr>
          <w:b/>
          <w:bCs/>
        </w:rPr>
        <w:t xml:space="preserve">孙庭恩</w:t>
      </w:r>
    </w:p>
    <w:p>
      <w:pPr>
        <w:spacing w:line="360" w:lineRule="auto" w:before="60" w:after="60"/>
        <w:ind w:firstLine="480"/>
      </w:pPr>
      二审：
      <w:r>
        <w:rPr>
          <w:b/>
          <w:bCs/>
        </w:rPr>
        <w:t xml:space="preserve">刘金婷</w:t>
      </w:r>
    </w:p>
    <w:p>
      <w:pPr>
        <w:spacing w:line="360" w:lineRule="auto" w:before="60" w:after="60"/>
        <w:ind w:firstLine="480"/>
      </w:pPr>
      三审：
      <w:r>
        <w:rPr>
          <w:b/>
          <w:bCs/>
        </w:rPr>
        <w:t xml:space="preserve">邢建生</w:t>
      </w:r>
    </w:p>
    <w:p>
      <w:pPr>
        <w:spacing w:line="360" w:lineRule="auto" w:before="60" w:after="60"/>
        <w:ind w:firstLine="480"/>
      </w:pPr>
      <w:r>
        <w:t xml:space="preserve">责任编辑：区政务公开办</w:t>
      </w:r>
    </w:p>
    <w:p>
      <w:pPr>
        <w:pStyle w:val="Heading3"/>
      </w:pPr>
      <w:r>
        <w:t xml:space="preserve">相关附件：</w:t>
      </w:r>
    </w:p>
    <w:p>
      <w:pPr>
        <w:pStyle w:val="Heading3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 【打印本文】 【关闭窗口】 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关联稿件</w:t>
      </w:r>
    </w:p>
    <w:p>
      <w:pPr>
        <w:pStyle w:val="Heading3"/>
      </w:pPr>
      <w:r>
        <w:t xml:space="preserve">关联稿件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