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重庆软件与服务外包学校改造工程 “7·25”一般其他伤害事故调查报告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原文链接：https://www.ljxq.gov.cn/bm/qyjglj/zwgk/zfxxgkml/jczwgk/aqsclyxxgk/xzgl/jdjc/202603/t20260309_15512423.html</w:t>
      </w:r>
    </w:p>
    <w:p>
      <w:pPr>
        <w:spacing w:before="20" w:after="20"/>
      </w:pPr>
      <w:r>
        <w:rPr>
          <w:color w:val="888888"/>
          <w:sz w:val="18"/>
        </w:rPr>
        <w:t xml:space="preserve">发布时间：2026-03-09　抓取时间：2026-09-29</w:t>
      </w:r>
    </w:p>
    <w:p/>
    <w:p>
      <w:pPr>
        <w:spacing w:line="360" w:lineRule="auto" w:before="60" w:after="60"/>
        <w:ind w:firstLine="480"/>
      </w:pPr>
      <w:r>
        <w:t xml:space="preserve"> 重庆软件与服务外包学校改造工程 “7·25”一般其他伤害事故调查报告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2025年7月25日，位于大竹林街道的重庆软件与服务外包学校改造工程施工过程中发生一起生产安全事故，造成1人死亡，直接经济损失148万元。</w:t>
      </w:r>
    </w:p>
    <w:p>
      <w:pPr>
        <w:spacing w:line="360" w:lineRule="auto" w:before="60" w:after="60"/>
        <w:ind w:firstLine="480"/>
      </w:pPr>
      <w:r>
        <w:t xml:space="preserve">接到事故报告后，原两江新区应急管理局、原两江新区建设局、原两江新区公安分局、重庆两江产业集团等单位人员立即赶赴现场了解情况处置，根据《中华人民共和国安全生产法》《生产安全事故报告和调查处理条例》（国务院令第493号）《重庆市安全生产条例》的规定，原重庆两江新区管委会成立了由原两江新区应急管理局牵头，原两江新区办公室、建设局、总工会、公安分局和荣昌区人民政府等单位派人组成的重庆软件与服务外包学校改造工程“7·25”一般其他伤害事故调查组（以下简称事故调查组），并邀请原两江新区纪工委监察室、渝北区检察院派员参加调查工作。事故调查组下设技术组，由三名市应急管理专家组成，负责查明事故的直接原因。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经调查认定，重庆软件与服务外包学校改造工程“7·25”其他伤害事故是一起因作业人员操作不当，施工单位风险识别、隐患排查不到位导致的一般生产安全责任事故。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