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仲恺陈江朗华生态链电子料件集散中心项目“8·13”一般物体打击事故调查报告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来源：仲恺高新区应急管理部门　惠州市仲恺高新区·仲恺高新区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原文链接：http://www.hzzk.gov.cn/zzgxqzdlyxxgk/aqscxxgk/scaqsgdcbgxx/content/post_5645675.html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发布时间：2025-11-12　抓取时间：2026-10-16</w:t>
      </w:r>
    </w:p>
    <w:p/>
    <w:p>
      <w:pPr>
        <w:spacing w:line="360" w:lineRule="auto" w:before="60" w:after="60"/>
        <w:ind w:firstLine="480"/>
      </w:pPr>
      <w:r>
        <w:t xml:space="preserve"> 仲恺陈江朗华生态链电子料件集散中心项目“8·13”一般物体打击事故调查报告。（详见附件）</w:t>
      </w:r>
    </w:p>
    <w:p>
      <w:pPr>
        <w:spacing w:line="360" w:lineRule="auto" w:before="60" w:after="60"/>
        <w:ind w:firstLine="480"/>
      </w:pPr>
      <w:r>
        <w:t xml:space="preserve"> 附件：仲恺陈江朗华生态链电子料件集散中心项目“8·13”一般物体打击事故调查报告.pdf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