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黄埔新龙“3.1”一般物体打击事故调查报告.pdf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原文链接：http://www.hp.gov.cn/gzhpyingj/gkmlpt/content/10/10256/post_10256238.html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发布时间：2025-05-09　抓取时间：2026-10-16</w:t>
      </w:r>
    </w:p>
    <w:p/>
    <w:p>
      <w:pPr>
        <w:pStyle w:val="Heading1"/>
      </w:pPr>
      <w:r>
        <w:t xml:space="preserve">黄埔新龙“3·1”一般物体打击事故调查报告</w:t>
      </w:r>
    </w:p>
    <w:p>
      <w:pPr>
        <w:spacing w:line="360" w:lineRule="auto" w:before="60" w:after="60"/>
        <w:ind w:firstLine="480"/>
      </w:pPr>
      <w:r>
        <w:t xml:space="preserve"> 发布日期：2025-05-09 浏览次数：- </w:t>
      </w:r>
    </w:p>
    <w:p>
      <w:pPr>
        <w:spacing w:line="360" w:lineRule="auto" w:before="60" w:after="60"/>
        <w:ind w:firstLine="480"/>
      </w:pPr>
      <w:r>
        <w:t xml:space="preserve">黄埔新龙“3.1”一般物体打击事故调查报告.pdf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