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荔湾石围塘“5·15”一般电击伤害事故调查报告.doc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原文链接：http://www.lw.gov.cn/gzlwyj/gkmlpt/content/9/9126/post_9126610.html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发布时间：2023-07-25　抓取时间：2026-10-16</w:t>
      </w:r>
    </w:p>
    <w:p/>
    <w:p>
      <w:pPr>
        <w:pStyle w:val="Heading1"/>
      </w:pPr>
      <w:r>
        <w:t xml:space="preserve">荔湾石围塘“5·15”一般电击伤害事故调查报告</w:t>
      </w:r>
    </w:p>
    <w:p>
      <w:pPr>
        <w:spacing w:line="360" w:lineRule="auto" w:before="60" w:after="60"/>
        <w:ind w:firstLine="480"/>
      </w:pPr>
      <w:r>
        <w:t xml:space="preserve"> 发布日期：2023-07-25 浏览次数：- </w:t>
      </w:r>
    </w:p>
    <w:p>
      <w:pPr>
        <w:spacing w:line="360" w:lineRule="auto" w:before="60" w:after="60"/>
        <w:ind w:firstLine="480"/>
      </w:pPr>
      <w:r>
        <w:t xml:space="preserve">荔湾石围塘“5·15”一般电击伤害事故调查报告.doc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