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荔湾石围塘民宅装修工程“9·3”一般触电事故调查报告.pdf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原文链接：http://www.lw.gov.cn/gzlwyj/gkmlpt/content/10/10534/post_10534772.html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发布时间：2025-11-10　抓取时间：2026-10-16</w:t>
      </w:r>
    </w:p>
    <w:p/>
    <w:p>
      <w:pPr>
        <w:pStyle w:val="Heading1"/>
      </w:pPr>
      <w:r>
        <w:t xml:space="preserve">荔湾石围塘民宅装修工程“9·3”一般触电事故调查报告</w:t>
      </w:r>
    </w:p>
    <w:p>
      <w:pPr>
        <w:spacing w:line="360" w:lineRule="auto" w:before="60" w:after="60"/>
        <w:ind w:firstLine="480"/>
      </w:pPr>
      <w:r>
        <w:t xml:space="preserve"> 发布日期：2025-11-11 浏览次数：- </w:t>
      </w:r>
    </w:p>
    <w:p>
      <w:pPr>
        <w:spacing w:line="360" w:lineRule="auto" w:before="60" w:after="60"/>
        <w:ind w:firstLine="480"/>
      </w:pPr>
      <w:r>
        <w:t xml:space="preserve">荔湾石围塘民宅装修工程“9·3”一般触电事故调查报告.pdf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