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德化雷峰城建·水墨耕云项目(18#楼除外）“8·24”一般触电事故调查报告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原文链接：http://www.dehua.gov.cn/zwgk/zfxxgkzl/bmzfxxgk/yjglj/fdzdgknr/202606/t20260615_3300465.htm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发布时间：2025-11-04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号：qz11301-2500-2025-00027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公文生成日期：2025-11-04</w:t>
      </w:r>
    </w:p>
    <w:p>
      <w:pPr>
        <w:spacing w:line="360" w:lineRule="auto" w:before="60" w:after="60"/>
        <w:ind w:firstLine="480"/>
      </w:pPr>
      <w:r>
        <w:t xml:space="preserve">德化雷峰城建·水墨耕云项目(18#楼除外）“8·24”一般触电事故调查报告</w:t>
      </w:r>
    </w:p>
    <w:p>
      <w:pPr>
        <w:spacing w:line="360" w:lineRule="auto" w:before="60" w:after="60"/>
        <w:ind w:firstLine="480"/>
      </w:pPr>
      <w:r>
        <w:t xml:space="preserve"> 时间：2025-11-04 11:17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德化雷峰城建·水墨耕云项目(18#楼除外）“8·24”一般触电事故调查报告.doc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