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xmlns:r="http://schemas.openxmlformats.org/officeDocument/2006/relationships" xmlns:wp="http://schemas.openxmlformats.org/drawingml/2006/wordprocessingDrawing" xmlns:a="http://schemas.openxmlformats.org/drawingml/2006/main" xmlns:pic="http://schemas.openxmlformats.org/drawingml/2006/picture">
  <w:body>
    <w:p>
      <w:pPr>
        <w:pStyle w:val="Title"/>
      </w:pPr>
      <w:r>
        <w:t xml:space="preserve">厦门昊琦科学仪器有限公司“6·29”触电一般生产安全事故调查报告</w:t>
      </w:r>
    </w:p>
    <w:p>
      <w:pPr>
        <w:spacing w:before="20" w:after="20"/>
      </w:pPr>
      <w:r>
        <w:rPr>
          <w:color w:val="888888"/>
          <w:sz w:val="18"/>
        </w:rPr>
        <w:t xml:space="preserve">来源：厦门市翔安区人民政府　厦门市翔安区·生产安全事故调查和预警</w:t>
      </w:r>
    </w:p>
    <w:p>
      <w:pPr>
        <w:spacing w:before="20" w:after="20"/>
      </w:pPr>
      <w:r>
        <w:rPr>
          <w:color w:val="888888"/>
          <w:sz w:val="18"/>
        </w:rPr>
        <w:t xml:space="preserve">原文链接：https://www.xiangan.gov.cn/zwgk/aqsc/zffgywj_16158/201908/t20190819_288296.htm</w:t>
      </w:r>
    </w:p>
    <w:p>
      <w:pPr>
        <w:spacing w:before="20" w:after="20"/>
      </w:pPr>
      <w:r>
        <w:rPr>
          <w:color w:val="888888"/>
          <w:sz w:val="18"/>
        </w:rPr>
        <w:t xml:space="preserve">发布时间：2019-08-19　抓取时间：2026-10-14</w:t>
      </w:r>
    </w:p>
    <w:p/>
    <w:p>
      <w:pPr>
        <w:spacing w:line="360" w:lineRule="auto" w:before="60" w:after="60"/>
        <w:ind w:firstLine="480"/>
      </w:pPr>
      <w:r>
        <w:t xml:space="preserve"> 2019年6月29日17时35分左右，厦门昊琦科学仪器有限公司G实验室内，一名员工在安装纯水机过程中发生触电事故，造成一人死亡。依据《中华人民共和国安全生产法》和《生产安全事故报告和调查处理条例》（国务院令第493号）的规定，受厦门市翔安区人民政府的委托，区应急局联合新店镇人民政府、区公安分局、区总工会等部门组成事故调查小组 （厦翔应急〔2019〕25号）。调查小组邀请区监察委派员参加，并委托厦门钻嘉安全技术咨询有限公司对事故调查提供技术服务。现报告如下：</w:t>
      </w:r>
    </w:p>
    <w:p>
      <w:pPr>
        <w:spacing w:line="360" w:lineRule="auto" w:before="60" w:after="60"/>
        <w:ind w:firstLine="480"/>
      </w:pPr>
      <w:r>
        <w:t xml:space="preserve"> 一、事故发生单位概况</w:t>
      </w:r>
    </w:p>
    <w:p>
      <w:pPr>
        <w:spacing w:line="360" w:lineRule="auto" w:before="60" w:after="60"/>
        <w:ind w:firstLine="480"/>
      </w:pPr>
      <w:r>
        <w:t xml:space="preserve"> （一）事故单位：厦门昊琦科学仪器有限公司。该公司2015年1月15日成立，法人代表：许*中，注册资本壹仟万元，注册地址：厦门市翔安区鸿翔西路1888号2＃大楼十四层C室，统一社会信用代码：91350213303077339Y，经营范围：实验分析仪器制造；工程和技术研究和实验发展；其他专用仪器制造等。营业期限：自2015年1月15日至2035年1月14日。</w:t>
      </w:r>
    </w:p>
    <w:p>
      <w:pPr>
        <w:spacing w:line="360" w:lineRule="auto" w:before="60" w:after="60"/>
        <w:ind w:firstLine="480"/>
      </w:pPr>
      <w:r>
        <w:t xml:space="preserve"> （二）洪*彭：性别：男；民族：汉；出生年月：1987年3月16日；家庭住址：福建省厦门市翔安区马巷镇窗东村村南*号；居民身份证号码：350212********0557，低压电工证号码：T350212********0557。生前系厦门昊琦科学仪器有限公司员工，在该起事故中死亡。</w:t>
      </w:r>
    </w:p>
    <w:p>
      <w:pPr>
        <w:spacing w:line="360" w:lineRule="auto" w:before="60" w:after="60"/>
        <w:ind w:firstLine="480"/>
      </w:pPr>
      <w:r>
        <w:t xml:space="preserve"> 二、事故发生经过和事故救援情况</w:t>
      </w:r>
    </w:p>
    <w:p>
      <w:pPr>
        <w:spacing w:line="360" w:lineRule="auto" w:before="60" w:after="60"/>
        <w:ind w:firstLine="480"/>
      </w:pPr>
      <w:r>
        <w:t xml:space="preserve"> 2019年6月29日8时30分许（星期六），厦门昊琦科学仪器有限公司正常上班。公司总经理许*中安排公司员工洪*彭在公司G实验室安装纯水机设备。12时10分左右，公司统一安排午餐后，洪*彭继续回到G实验室继续安装纯水机设备。17时20分许，洪*彭向许*中报告纯水机设备完成安装，许*中要求洪*彭立即通电进行设备调试。17时35分左右，许*中按惯例巡查工作实验室，了解相关工作进度。巡查到G实验室时，看到洪*彭俯卧状倒在地板上，立即将其翻转扶正，并拨开其手中的电线。然后到实验室门口呼救。公司的员工立即从各自实验室里出来，赶到G实验室协助对洪*彭进行现场急救。公司胡*经理拨打了“120”急救电话。“120”赶到后，立即将洪*彭送往同民医院抢救，19时许，洪*彭经抢救无效死亡。在翔安区公安机关判断非刑事案件后，区应急局执法人员立即展开事故现场的勘察、取证工作。</w:t>
      </w:r>
    </w:p>
    <w:p>
      <w:pPr>
        <w:spacing w:line="360" w:lineRule="auto" w:before="60" w:after="60"/>
        <w:ind w:firstLine="480"/>
      </w:pPr>
      <w:r>
        <w:t xml:space="preserve"> 三、事故造成的人员伤亡和直接经济损失</w:t>
      </w:r>
    </w:p>
    <w:p>
      <w:pPr>
        <w:spacing w:line="360" w:lineRule="auto" w:before="60" w:after="60"/>
        <w:ind w:firstLine="480"/>
      </w:pPr>
      <w:r>
        <w:t xml:space="preserve"> 本起事故造成1人死亡，因事故造成的直接经济损失180余万元人民币。</w:t>
      </w:r>
    </w:p>
    <w:p>
      <w:pPr>
        <w:spacing w:line="360" w:lineRule="auto" w:before="60" w:after="60"/>
        <w:ind w:firstLine="480"/>
      </w:pPr>
      <w:r>
        <w:t xml:space="preserve"> 四、事故发生的原因和事故性质</w:t>
      </w:r>
    </w:p>
    <w:p>
      <w:pPr>
        <w:spacing w:line="360" w:lineRule="auto" w:before="60" w:after="60"/>
        <w:ind w:firstLine="480"/>
      </w:pPr>
      <w:r>
        <w:t xml:space="preserve"> （一）直接原因</w:t>
      </w:r>
    </w:p>
    <w:p>
      <w:pPr>
        <w:spacing w:line="360" w:lineRule="auto" w:before="60" w:after="60"/>
        <w:ind w:firstLine="480"/>
      </w:pPr>
      <w:r>
        <w:t xml:space="preserve"> 洪*彭职业安全意识不强，违章操作导致触电死亡，是引起本起事故的直接原因。一是接电作业前未断电；二是未佩戴安全防护装备；三是使用非标不规范的脚手架。</w:t>
      </w:r>
    </w:p>
    <w:p>
      <w:pPr>
        <w:spacing w:line="360" w:lineRule="auto" w:before="60" w:after="60"/>
        <w:ind w:firstLine="480"/>
      </w:pPr>
      <w:r>
        <w:t xml:space="preserve"> 厦门钻嘉安全技术咨询有限公司带领专家对事故现场开展了勘验检测，技术分析，确定“事故现场使用非标不规范的脚手架，导致作业现场操作不适或不当，人员高处跌落，导致抓在手中的火线和零线压在人的胸膛下面。且因原先电气开关未断电拉闸，加剧发生触电事故的严重性”。</w:t>
      </w:r>
    </w:p>
    <w:p>
      <w:pPr>
        <w:spacing w:line="360" w:lineRule="auto" w:before="60" w:after="60"/>
        <w:ind w:firstLine="480"/>
      </w:pPr>
      <w:r>
        <w:t xml:space="preserve"> （二）间接原因</w:t>
      </w:r>
    </w:p>
    <w:p>
      <w:pPr>
        <w:spacing w:line="360" w:lineRule="auto" w:before="60" w:after="60"/>
        <w:ind w:firstLine="480"/>
      </w:pPr>
      <w:r>
        <w:t xml:space="preserve"> 厦门昊琦科学仪器有限公司安全生产主体责任落实不到位是导致事故发生的间接原因。一是企业安全管理架构、安全管理人员配置、安全教育培训等方面存在不足，安全管理的水平不高，作业人员对施工作业方案不熟悉；二是企业未认真教育和督促从业人员严格执行本单位的安全生产规章制度和安全操作规程；三是企业管理人员和监护人员对作业现场的安全监护不到位，未及时制止从业人员的违章作业行为。</w:t>
      </w:r>
    </w:p>
    <w:p>
      <w:pPr>
        <w:spacing w:line="360" w:lineRule="auto" w:before="60" w:after="60"/>
        <w:ind w:firstLine="480"/>
      </w:pPr>
      <w:r>
        <w:t xml:space="preserve"> （三）事故性质</w:t>
      </w:r>
    </w:p>
    <w:p>
      <w:pPr>
        <w:spacing w:line="360" w:lineRule="auto" w:before="60" w:after="60"/>
        <w:ind w:firstLine="480"/>
      </w:pPr>
      <w:r>
        <w:t xml:space="preserve"> 经调查小组认定，确认该事故为一般生产安全责任事故。</w:t>
      </w:r>
    </w:p>
    <w:p>
      <w:pPr>
        <w:spacing w:line="360" w:lineRule="auto" w:before="60" w:after="60"/>
        <w:ind w:firstLine="480"/>
      </w:pPr>
      <w:r>
        <w:t xml:space="preserve"> 五、事故责任认定以及对事故责任者的处理建议</w:t>
      </w:r>
    </w:p>
    <w:p>
      <w:pPr>
        <w:spacing w:line="360" w:lineRule="auto" w:before="60" w:after="60"/>
        <w:ind w:firstLine="480"/>
      </w:pPr>
      <w:r>
        <w:t xml:space="preserve"> 1、厦门昊琦科学仪器有限公司安全生产主体责任落实不到位。一是企业安全管理架构、安全管理人员配置、安全教育培训等方面存在不足，安全管理的水平不高，作业人员对施工作业方案不熟悉；二是企业未认真教育和督促从业人员严格执行本单位的安全生产规章制度和安全操作规程；三是企业管理人员和监护人员对作业现场的安全监护不到位，未及时制止从业人员的违章作业行为。对本起事故的发生负主体责任。建议：由区应急局按照《中华人民共和国安全生产法》第一百零九条第一项的规定给予行政处罚。</w:t>
      </w:r>
    </w:p>
    <w:p>
      <w:pPr>
        <w:spacing w:line="360" w:lineRule="auto" w:before="60" w:after="60"/>
        <w:ind w:firstLine="480"/>
      </w:pPr>
      <w:r>
        <w:t xml:space="preserve"> 2、洪*彭：厦门昊琦科学仪器有限公司从业人员，安全意识淡薄，未严格遵守本单位的安全生产规章制度和安全操作规程，违章作业，且无监护人员在场的情况下，未断电拉闸作业，对本起事故的发生负直接责任。鉴于其已经死亡，故不予追究责任。</w:t>
      </w:r>
    </w:p>
    <w:p>
      <w:pPr>
        <w:spacing w:line="360" w:lineRule="auto" w:before="60" w:after="60"/>
        <w:ind w:firstLine="480"/>
      </w:pPr>
      <w:r>
        <w:t xml:space="preserve"> 六、事故防范和整改措施</w:t>
      </w:r>
    </w:p>
    <w:p>
      <w:pPr>
        <w:spacing w:line="360" w:lineRule="auto" w:before="60" w:after="60"/>
        <w:ind w:firstLine="480"/>
      </w:pPr>
      <w:r>
        <w:t xml:space="preserve"> 厦门昊琦科学仪器有限公司要深刻吸取本起事故的教训，加强安全生产管理，防止类似事故再次发生。一要切实提高企业的安全生产主体责任意识；二要加强对从业人员的培训教育，保证从业人员具备必要的安全生产知识，提高从业人员的安全防护意识和自我保护意识；三要强化对从业人员的安全管理，认真教育和督促从业人员严格执行本单位的安全生产规章制度和安全操作规程；四要加大隐患排查治理力度，及时发现和整改隐患，并认真做好台账记录；五要严格持证作业制度，坚决杜绝违章带电进行施工作业。</w:t>
      </w:r>
    </w:p>
    <w:p>
      <w:pPr>
        <w:spacing w:line="360" w:lineRule="auto" w:before="60" w:after="60"/>
        <w:ind w:firstLine="480"/>
      </w:pPr>
      <w:r>
        <w:t xml:space="preserve"> 厦门昊琦科学仪器有限公司“6·29”触电一般生产安全事故调查小组</w:t>
      </w:r>
    </w:p>
    <w:p>
      <w:pPr>
        <w:spacing w:line="360" w:lineRule="auto" w:before="60" w:after="60"/>
        <w:ind w:firstLine="480"/>
      </w:pPr>
      <w:r>
        <w:t xml:space="preserve"> 2019年7月25日</w:t>
      </w:r>
    </w:p>
    <w:sectPr>
      <w:pgSz w:w="11906" w:h="16838"/>
      <w:pgMar w:top="1440" w:right="1500" w:bottom="1440" w:left="1500"/>
    </w:sectPr>
  </w:body>
</w:document>
</file>

<file path=word/styles.xml><?xml version="1.0" encoding="utf-8"?>
<w:styles xmlns:w="http://schemas.openxmlformats.org/wordprocessingml/2006/main">
  <w:docDefaults>
    <w:rPrDefault>
      <w:rPr>
        <w:rFonts w:ascii="SimSun" w:eastAsia="SimSun" w:hAnsi="SimSun"/>
        <w:sz w:val="24"/>
        <w:szCs w:val="24"/>
      </w:rPr>
    </w:rPrDefault>
  </w:docDefaults>
  <w:style w:type="paragraph" w:default="1" w:styleId="Normal">
    <w:name w:val="Normal"/>
  </w:style>
  <w:style w:type="paragraph" w:styleId="Title">
    <w:name w:val="Title"/>
    <w:pPr>
      <w:spacing w:before="120" w:after="120"/>
      <w:jc w:val="center"/>
    </w:pPr>
    <w:rPr>
      <w:b/>
      <w:bCs/>
      <w:sz w:val="36"/>
      <w:szCs w:val="36"/>
      <w:color w:val="000000"/>
      <w:rFonts w:ascii="SimSun" w:eastAsia="SimSun" w:hAnsi="SimSun"/>
    </w:rPr>
  </w:style>
  <w:style w:type="paragraph" w:styleId="Heading1">
    <w:name w:val="heading 1"/>
    <w:pPr>
      <w:spacing w:before="120" w:after="120"/>
      <w:jc w:val="left"/>
    </w:pPr>
    <w:rPr>
      <w:b/>
      <w:bCs/>
      <w:sz w:val="30"/>
      <w:szCs w:val="30"/>
      <w:color w:val="000000"/>
      <w:rFonts w:ascii="SimSun" w:eastAsia="SimSun" w:hAnsi="SimSun"/>
    </w:rPr>
  </w:style>
  <w:style w:type="paragraph" w:styleId="Heading2">
    <w:name w:val="heading 2"/>
    <w:pPr>
      <w:spacing w:before="120" w:after="120"/>
      <w:jc w:val="left"/>
    </w:pPr>
    <w:rPr>
      <w:b/>
      <w:bCs/>
      <w:sz w:val="26"/>
      <w:szCs w:val="26"/>
      <w:color w:val="000000"/>
      <w:rFonts w:ascii="SimSun" w:eastAsia="SimSun" w:hAnsi="SimSun"/>
    </w:rPr>
  </w:style>
  <w:style w:type="paragraph" w:styleId="Heading3">
    <w:name w:val="heading 3"/>
    <w:pPr>
      <w:spacing w:before="120" w:after="120"/>
      <w:jc w:val="left"/>
    </w:pPr>
    <w:rPr>
      <w:b/>
      <w:bCs/>
      <w:sz w:val="24"/>
      <w:szCs w:val="24"/>
      <w:color w:val="000000"/>
      <w:rFonts w:ascii="SimSun" w:eastAsia="SimSun" w:hAnsi="SimSun"/>
    </w:rPr>
  </w:style>
</w:styles>
</file>