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博乐边合区XX热力有限责任公司“7·21”一般物体打击事故调查报告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原文链接：https://www.xjbl.gov.cn/xjbl/c126649/202610/1fc11519d0eb4f56a7fc27fb58febbad.shtml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网站无障碍</w:t>
      </w:r>
    </w:p>
    <w:p>
      <w:pPr>
        <w:spacing w:line="360" w:lineRule="auto" w:before="60" w:after="60"/>
        <w:ind w:firstLine="480"/>
      </w:pPr>
      <w:r>
        <w:t xml:space="preserve">进入适老版</w:t>
      </w:r>
    </w:p>
    <w:p>
      <w:pPr>
        <w:spacing w:line="360" w:lineRule="auto" w:before="60" w:after="60"/>
        <w:ind w:firstLine="480"/>
      </w:pPr>
      <w:r>
        <w:t xml:space="preserve">进入关怀版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48125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drawing>
          <wp:inline distT="0" distB="0" distL="0" distR="0">
            <wp:extent cx="5400000" cy="912893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博乐边合区XX热力有限责任公司“7·21”一般物体打击事故调查报告 </w:t>
      </w:r>
    </w:p>
    <w:p>
      <w:pPr>
        <w:spacing w:line="360" w:lineRule="auto" w:before="60" w:after="60"/>
        <w:ind w:firstLine="480"/>
      </w:pPr>
      <w:r>
        <w:t xml:space="preserve"> 日期：2026年10月02日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审核人：崔鑫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