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（2023年）江西琪翔建筑工程有限公司“4·2”高处坠落事故调查报告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来源：铜陵市铜官山区·基层公开　铜陵市铜官山区·基层公开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原文链接：https://www.tltg.gov.cn/openness/OpennessContent/show/1115033.html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发布时间：2023-05-05　抓取时间：2026-10-22</w:t>
      </w:r>
    </w:p>
    <w:p/>
    <w:p>
      <w:pPr>
        <w:spacing w:line="360" w:lineRule="auto" w:before="60" w:after="60"/>
        <w:ind w:firstLine="480"/>
      </w:pPr>
      <w:br/>
      <w:br/>
      <w:r>
        <w:drawing>
          <wp:inline distT="0" distB="0" distL="0" distR="0">
            <wp:extent cx="3771900" cy="5334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3771900" cy="5334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/Relationships>
</file>