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【事故调查报告】芜湖市镜湖区芜湖职业技术学院基础设施改造及环境提升项目一标段“7·27”一般物体打击事故调查报告</w:t>
      </w:r>
    </w:p>
    <w:p>
      <w:pPr>
        <w:spacing w:before="20" w:after="20"/>
      </w:pPr>
      <w:r>
        <w:rPr>
          <w:color w:val="888888"/>
          <w:sz w:val="18"/>
        </w:rPr>
        <w:t xml:space="preserve">来源：芜湖市应急管理局·事故调查　芜湖市应急管理局·事故调查</w:t>
      </w:r>
    </w:p>
    <w:p>
      <w:pPr>
        <w:spacing w:before="20" w:after="20"/>
      </w:pPr>
      <w:r>
        <w:rPr>
          <w:color w:val="888888"/>
          <w:sz w:val="18"/>
        </w:rPr>
        <w:t xml:space="preserve">原文链接：https://yjglj.wuhu.gov.cn/openness/public/6596671/39610587.html</w:t>
      </w:r>
    </w:p>
    <w:p>
      <w:pPr>
        <w:spacing w:before="20" w:after="20"/>
      </w:pPr>
      <w:r>
        <w:rPr>
          <w:color w:val="888888"/>
          <w:sz w:val="18"/>
        </w:rPr>
        <w:t xml:space="preserve">发布时间：2024-10-15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芜湖市应急管理局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2024-10-15</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【事故调查报告】芜湖市镜湖区芜湖职业技术学院基础设施改造及环境提升项目一标段“7·27”一般物体打击事故调查报告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737334849/202410-00015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芜湖市应急管理局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2024-10-15</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【事故调查报告】芜湖市镜湖区芜湖职业技术学院基础设施改造及环境提升项目一标段“7·27”一般物体打击事故调查报告</w:t>
            </w:r>
          </w:p>
        </w:tc>
      </w:tr>
    </w:tbl>
    <w:p/>
    <w:p>
      <w:pPr>
        <w:pStyle w:val="Heading1"/>
      </w:pPr>
      <w:r>
        <w:t xml:space="preserve">【事故调查报告】芜湖市镜湖区芜湖职业技术学院基础设施改造及环境提升项目一标段“7·27”一般物体打击事故调查报告 </w:t>
      </w:r>
    </w:p>
    <w:p>
      <w:pPr>
        <w:spacing w:line="360" w:lineRule="auto" w:before="60" w:after="60"/>
        <w:ind w:firstLine="480"/>
      </w:pPr>
      <w:r>
        <w:t xml:space="preserve"> 发布时间：2024-10-15 11:32信息来源： 芜湖市应急管理局阅读次数：编辑：办公室 字体：【大 中 小】 </w:t>
      </w:r>
    </w:p>
    <w:p>
      <w:pPr>
        <w:spacing w:line="360" w:lineRule="auto" w:before="60" w:after="60"/>
        <w:ind w:firstLine="480"/>
      </w:pPr>
      <w:r>
        <w:drawing>
          <wp:inline distT="0" distB="0" distL="0" distR="0">
            <wp:extent cx="364100"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64100" cy="6600000"/>
                    </a:xfrm>
                    <a:prstGeom prst="rect">
                      <a:avLst/>
                    </a:prstGeom>
                  </pic:spPr>
                </pic:pic>
              </a:graphicData>
            </a:graphic>
          </wp:inline>
        </w:drawing>
      </w:r>
      <w:br/>
    </w:p>
    <w:p>
      <w:pPr>
        <w:spacing w:line="360" w:lineRule="auto" w:before="60" w:after="60"/>
        <w:ind w:firstLine="480"/>
      </w:pPr>
      <w:r>
        <w:t xml:space="preserve">公众参与</w:t>
      </w:r>
    </w:p>
    <w:p>
      <w:pPr>
        <w:spacing w:line="360" w:lineRule="auto" w:before="60" w:after="60"/>
        <w:ind w:firstLine="480"/>
      </w:pPr>
      <w:r>
        <w:t xml:space="preserve">公众参与</w:t>
      </w:r>
    </w:p>
    <w:p>
      <w:pPr>
        <w:spacing w:line="360" w:lineRule="auto" w:before="60" w:after="60"/>
        <w:ind w:firstLine="480"/>
      </w:pPr>
      <w:r>
        <w:t xml:space="preserve">决策过程</w:t>
      </w:r>
    </w:p>
    <w:p>
      <w:pPr>
        <w:spacing w:line="360" w:lineRule="auto" w:before="60" w:after="60"/>
        <w:ind w:firstLine="480"/>
      </w:pPr>
      <w:r>
        <w:t xml:space="preserve">决策过程</w:t>
      </w:r>
    </w:p>
    <w:p>
      <w:pPr>
        <w:spacing w:line="360" w:lineRule="auto" w:before="60" w:after="60"/>
        <w:ind w:firstLine="480"/>
      </w:pPr>
      <w:r>
        <w:t xml:space="preserve">政策解读</w:t>
      </w:r>
    </w:p>
    <w:p>
      <w:pPr>
        <w:spacing w:line="360" w:lineRule="auto" w:before="60" w:after="60"/>
        <w:ind w:firstLine="480"/>
      </w:pPr>
      <w:r>
        <w:t xml:space="preserve"> 效果评估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