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关于烈山区烈山镇“12.20”熔炉烫伤人员事故调查报告的更正说明</w:t>
      </w:r>
    </w:p>
    <w:p>
      <w:pPr>
        <w:spacing w:before="20" w:after="20"/>
      </w:pPr>
      <w:r>
        <w:rPr>
          <w:color w:val="888888"/>
          <w:sz w:val="18"/>
        </w:rPr>
        <w:t xml:space="preserve">来源：烈山区应急管理局　淮北市烈山区·基层政务公开(事故调查)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原文链接：https://www.lieshan.gov.cn/zwgk/grassroots/37/65052375.html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003092166/202607-00032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区安全生产监督管理局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003092166/202607-00032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区安全生产监督管理局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关于烈山区烈山镇“12.20”熔炉烫伤人员事故调查报告的更正说明 </w:t>
      </w:r>
    </w:p>
    <w:p>
      <w:pPr>
        <w:spacing w:line="360" w:lineRule="auto" w:before="60" w:after="60"/>
        <w:ind w:firstLine="480"/>
      </w:pPr>
      <w:r>
        <w:t xml:space="preserve">2026-07-14 15:35作者：区应急局来源：区安全生产监督管理局文字大小：[ 大 中 小 ] 背景色： 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淮北市烈山区人民政府事故调查组在烈山区烈山镇“12.20”熔炉烫伤人员事故调查过程中，由于该事故造成的直接经济损失的统计依据存在偏差，现将2026年2月10日事故调查组作出的《烈山区烈山镇“12.20”熔炉烫伤人员事故调查报告》第一项第（五）人员伤亡和直接经济损失情况……，截至目前治疗费用2343253.06元更正为1780802.96元。其他内容不变，依然有效。</w:t>
      </w:r>
    </w:p>
    <w:p>
      <w:pPr>
        <w:spacing w:line="360" w:lineRule="auto" w:before="60" w:after="60"/>
        <w:ind w:firstLine="480"/>
      </w:pPr>
      <w:r>
        <w:t xml:space="preserve">特此说明。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烈山区人民政府</w:t>
      </w:r>
    </w:p>
    <w:p>
      <w:pPr>
        <w:spacing w:line="360" w:lineRule="auto" w:before="60" w:after="60"/>
        <w:ind w:firstLine="480"/>
      </w:pPr>
      <w:r>
        <w:t xml:space="preserve">2026年7月14日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