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华业钢构核电装备有限公司“10˙15”一般灼烫事故调查报告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来源：海盐县应急管理局　嘉兴市海盐县·组织分项(事故调查)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原文链接：https://www.haiyan.gov.cn/col/col1229414473/art/2026/art_4c61abf8707c4492beb91db8bd19e1aa.html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发布时间：2026-05-15　抓取时间：2026-10-13</w:t>
      </w:r>
    </w:p>
    <w:p/>
    <w:p>
      <w:pPr>
        <w:spacing w:line="360" w:lineRule="auto" w:before="60" w:after="60"/>
        <w:ind w:firstLine="480"/>
      </w:pPr>
      <w:r>
        <w:t xml:space="preserve">•  索引号：  11330424781823113R/2024-1010400786  </w:t>
      </w:r>
    </w:p>
    <w:p>
      <w:pPr>
        <w:spacing w:line="360" w:lineRule="auto" w:before="60" w:after="60"/>
        <w:ind w:firstLine="480"/>
      </w:pPr>
      <w:r>
        <w:t xml:space="preserve">•  成文日期：  2024-12-12  </w:t>
      </w:r>
    </w:p>
    <w:p>
      <w:pPr>
        <w:spacing w:line="360" w:lineRule="auto" w:before="60" w:after="60"/>
        <w:ind w:firstLine="480"/>
      </w:pPr>
      <w:r>
        <w:t xml:space="preserve">•  组配分类：  安全生产监管  </w:t>
      </w:r>
    </w:p>
    <w:p>
      <w:pPr>
        <w:spacing w:line="360" w:lineRule="auto" w:before="60" w:after="60"/>
        <w:ind w:firstLine="480"/>
      </w:pPr>
      <w:r>
        <w:t xml:space="preserve">•  公开时限：  长期公开  </w:t>
      </w:r>
    </w:p>
    <w:p>
      <w:pPr>
        <w:spacing w:line="360" w:lineRule="auto" w:before="60" w:after="60"/>
        <w:ind w:firstLine="480"/>
      </w:pPr>
      <w:r>
        <w:t xml:space="preserve">•  发布机构：  海盐县应急局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华业钢构核电装备有限公司“10˙15”一般灼烫事故调查报告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发布时间： 2026-05-15 16:09 信息来源： 县应急管理局 浏览次数：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发布时间： 2026-05-15 16:09 信息来源： 县应急管理局 浏览次数：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[附件下载] 华业钢构核电装备有限公司“10˙15”一般灼烫事故调查报告.pdf 信息来源： 县应急管理局 【打印本页】 【关闭窗口】</w:t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