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北仑大碶宁波市海歆再生资源有限公司“8·25”一般机械伤害事故调查报告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原文链接：https://www.bl.gov.cn/col/col1229749069/art/2025/art_78bf25b38cf64dab8b78e2731ede5452.html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抓取时间：2026-10-13</w:t>
      </w:r>
    </w:p>
    <w:p/>
    <w:p>
      <w:pPr>
        <w:spacing w:line="360" w:lineRule="auto" w:before="60" w:after="60"/>
        <w:ind w:firstLine="480"/>
      </w:pPr>
      <w:r>
        <w:t xml:space="preserve">目前，《北仑大碶宁波市海歆再生资源有限公司“8·25”一般机械伤害事故调查报告》已经区政府批复，现予公布。 </w:t>
      </w:r>
    </w:p>
    <w:p>
      <w:pPr>
        <w:spacing w:line="360" w:lineRule="auto" w:before="60" w:after="60"/>
        <w:ind w:firstLine="480"/>
      </w:pPr>
      <w:r>
        <w:t xml:space="preserve">附件：宁波市北仑区应急管理局 关于要求批复北仑大碶宁波市海歆再生资源有限公司“8·25”一般机械伤害事故调查报告的请示.pdf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