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北仑小港宁波俊扬制刷有限公司“9·8”一般其他伤害事故调查报告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原文链接：https://www.bl.gov.cn/col/col1229749069/art/2026/art_dd50077213404124a40c36ae1e081ab1.html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抓取时间：2026-10-13</w:t>
      </w:r>
    </w:p>
    <w:p/>
    <w:p>
      <w:pPr>
        <w:spacing w:line="360" w:lineRule="auto" w:before="60" w:after="60"/>
        <w:ind w:firstLine="480"/>
      </w:pPr>
      <w:r>
        <w:t xml:space="preserve">目前，《北仑小港宁波俊扬制刷有限公司“9·8”一般其他伤害事故调查报告》已经区政府批复，现予公布。 </w:t>
      </w:r>
    </w:p>
    <w:p>
      <w:pPr>
        <w:spacing w:line="360" w:lineRule="auto" w:before="60" w:after="60"/>
        <w:ind w:firstLine="480"/>
      </w:pPr>
      <w:r>
        <w:t xml:space="preserve">附件：北仑小港宁波俊扬制刷有限公司“9·8”一般其他伤害事故调查报告.pdf</w:t>
      </w:r>
    </w:p>
    <w:p>
      <w:pPr>
        <w:spacing w:line="360" w:lineRule="auto" w:before="60" w:after="60"/>
        <w:ind w:firstLine="480"/>
      </w:pPr>
      <w:br/>
    </w:p>
    <w:p/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