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事故调查报告送达公告</w:t>
      </w:r>
    </w:p>
    <w:p>
      <w:pPr>
        <w:spacing w:before="20" w:after="20"/>
      </w:pPr>
      <w:r>
        <w:rPr>
          <w:color w:val="888888"/>
          <w:sz w:val="18"/>
        </w:rPr>
        <w:t xml:space="preserve">来源：鹿城区应急管理局　温州市鹿城区·组织分项·公告公示(事故调查)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原文链接：https://www.lucheng.gov.cn/col/col1229891363/art/2026/art_c4f8c0114c224a02a2fa193d9d8fe0a3.html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发布时间：2026-05-13　抓取时间：2026-10-13</w:t>
      </w:r>
    </w:p>
    <w:p/>
    <w:p>
      <w:pPr>
        <w:spacing w:line="360" w:lineRule="auto" w:before="60" w:after="60"/>
        <w:ind w:firstLine="480"/>
      </w:pPr>
      <w:r>
        <w:t xml:space="preserve">温州鲁班建筑安装有限公司：</w:t>
      </w:r>
    </w:p>
    <w:p>
      <w:pPr>
        <w:spacing w:line="360" w:lineRule="auto" w:before="60" w:after="60"/>
        <w:ind w:firstLine="480"/>
      </w:pPr>
      <w:r>
        <w:t xml:space="preserve">《鹿城广化温州鲁班建筑安装有限公司“12·19”一般高处坠落事故调查报告》（以下简称《调查报告》）已经鹿城区人民政府批复同意（温鹿政发〔2026〕21号），认定你（单位）存在违法行为。因其它方式无法向你（单位）送达调查报告，现依法向你（单位）公告送达，自本公告发出之日起，经过10日即视为送达。如果不服鹿城区人民政府的批复，可以依法在60日内向温州市人民政府申请行政复议，或者在六个月内依法向温州市中级人民法院提起行政诉讼，但本决定不停止执行，法律另有规定的除外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温州市鹿城区应急管理局 </w:t>
      </w:r>
    </w:p>
    <w:p>
      <w:pPr>
        <w:spacing w:line="360" w:lineRule="auto" w:before="60" w:after="60"/>
        <w:ind w:firstLine="480"/>
      </w:pPr>
      <w:r>
        <w:t xml:space="preserve">2026年5月13日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【附件下载】.pdf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