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jc w:val="both"/>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上海君木住宅配套工程有限公司“2·26”</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高处坠落一般事故整改和防范措施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落实情况评估报告</w:t>
      </w:r>
    </w:p>
    <w:p>
      <w:pPr>
        <w:pStyle w:val="2"/>
        <w:rPr>
          <w:rStyle w:val="12"/>
          <w:rFonts w:hint="eastAsia" w:ascii="仿宋_GB2312" w:hAnsi="Calibri" w:eastAsia="仿宋_GB2312" w:cs="Times New Roman"/>
          <w:snapToGrid/>
          <w:color w:val="000000"/>
          <w:kern w:val="2"/>
          <w:sz w:val="44"/>
          <w:szCs w:val="44"/>
          <w:lang w:val="en-US" w:eastAsia="zh-CN" w:bidi="ar-SA"/>
        </w:rPr>
      </w:pPr>
      <w:bookmarkStart w:id="2" w:name="_GoBack"/>
      <w:bookmarkEnd w:id="2"/>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Style w:val="12"/>
          <w:rFonts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2024年2月26日16时30分许，上海市青浦区</w:t>
      </w:r>
      <w:bookmarkStart w:id="0" w:name="OLE_LINK8"/>
      <w:r>
        <w:rPr>
          <w:rStyle w:val="12"/>
          <w:rFonts w:hint="eastAsia" w:ascii="仿宋_GB2312" w:hAnsi="Calibri" w:eastAsia="仿宋_GB2312" w:cs="Times New Roman"/>
          <w:snapToGrid/>
          <w:color w:val="000000"/>
          <w:kern w:val="2"/>
          <w:sz w:val="32"/>
          <w:szCs w:val="32"/>
          <w:lang w:val="en-US" w:eastAsia="zh-CN" w:bidi="ar-SA"/>
        </w:rPr>
        <w:t>朱家角镇王金村天淀路232-2号</w:t>
      </w:r>
      <w:bookmarkEnd w:id="0"/>
      <w:r>
        <w:rPr>
          <w:rStyle w:val="12"/>
          <w:rFonts w:hint="eastAsia" w:ascii="仿宋_GB2312" w:hAnsi="Calibri" w:eastAsia="仿宋_GB2312" w:cs="Times New Roman"/>
          <w:snapToGrid/>
          <w:color w:val="000000"/>
          <w:kern w:val="2"/>
          <w:sz w:val="32"/>
          <w:szCs w:val="32"/>
          <w:lang w:val="en-US" w:eastAsia="zh-CN" w:bidi="ar-SA"/>
        </w:rPr>
        <w:t>上海君木住宅配套工程有限公司租赁厂区内，1名工作人员赵兴育站立在四层集装箱顶部辅助吊运集装箱时，不慎从四层集装箱顶部坠落至地面，坠落高度约11米。事故共造成1人死亡，直接经济损失约147万元。</w:t>
      </w:r>
      <w:r>
        <w:rPr>
          <w:rStyle w:val="12"/>
          <w:rFonts w:ascii="仿宋_GB2312" w:hAnsi="Calibri" w:eastAsia="仿宋_GB2312" w:cs="Times New Roman"/>
          <w:snapToGrid/>
          <w:color w:val="000000"/>
          <w:kern w:val="2"/>
          <w:sz w:val="32"/>
          <w:szCs w:val="32"/>
          <w:lang w:val="en-US" w:eastAsia="zh-CN" w:bidi="ar-SA"/>
        </w:rPr>
        <w:t>事发后，上海市</w:t>
      </w:r>
      <w:r>
        <w:rPr>
          <w:rStyle w:val="12"/>
          <w:rFonts w:hint="eastAsia" w:ascii="仿宋_GB2312" w:hAnsi="Calibri" w:eastAsia="仿宋_GB2312" w:cs="Times New Roman"/>
          <w:snapToGrid/>
          <w:color w:val="000000"/>
          <w:kern w:val="2"/>
          <w:sz w:val="32"/>
          <w:szCs w:val="32"/>
          <w:lang w:val="en-US" w:eastAsia="zh-CN" w:bidi="ar-SA"/>
        </w:rPr>
        <w:t>青浦区</w:t>
      </w:r>
      <w:r>
        <w:rPr>
          <w:rStyle w:val="12"/>
          <w:rFonts w:ascii="仿宋_GB2312" w:hAnsi="Calibri" w:eastAsia="仿宋_GB2312" w:cs="Times New Roman"/>
          <w:snapToGrid/>
          <w:color w:val="000000"/>
          <w:kern w:val="2"/>
          <w:sz w:val="32"/>
          <w:szCs w:val="32"/>
          <w:lang w:val="en-US" w:eastAsia="zh-CN" w:bidi="ar-SA"/>
        </w:rPr>
        <w:t>应急管理局会同相关部门依法开展事故调查，形成《</w:t>
      </w:r>
      <w:r>
        <w:rPr>
          <w:rStyle w:val="12"/>
          <w:rFonts w:hint="eastAsia" w:ascii="仿宋_GB2312" w:hAnsi="Calibri" w:eastAsia="仿宋_GB2312" w:cs="Times New Roman"/>
          <w:snapToGrid/>
          <w:color w:val="000000"/>
          <w:kern w:val="2"/>
          <w:sz w:val="32"/>
          <w:szCs w:val="32"/>
          <w:lang w:val="en-US" w:eastAsia="zh-CN" w:bidi="ar-SA"/>
        </w:rPr>
        <w:t>上海君木住宅配套工程有限公司“2</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26</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高处坠落一般</w:t>
      </w:r>
      <w:r>
        <w:rPr>
          <w:rStyle w:val="12"/>
          <w:rFonts w:ascii="仿宋_GB2312" w:hAnsi="Calibri" w:eastAsia="仿宋_GB2312" w:cs="Times New Roman"/>
          <w:snapToGrid/>
          <w:color w:val="000000"/>
          <w:kern w:val="2"/>
          <w:sz w:val="32"/>
          <w:szCs w:val="32"/>
          <w:lang w:val="en-US" w:eastAsia="zh-CN" w:bidi="ar-SA"/>
        </w:rPr>
        <w:t>事故调查报告》（以下简称事故调查报告）并报经</w:t>
      </w:r>
      <w:r>
        <w:rPr>
          <w:rStyle w:val="12"/>
          <w:rFonts w:hint="eastAsia" w:ascii="仿宋_GB2312" w:hAnsi="Calibri" w:eastAsia="仿宋_GB2312" w:cs="Times New Roman"/>
          <w:snapToGrid/>
          <w:color w:val="000000"/>
          <w:kern w:val="2"/>
          <w:sz w:val="32"/>
          <w:szCs w:val="32"/>
          <w:lang w:val="en-US" w:eastAsia="zh-CN" w:bidi="ar-SA"/>
        </w:rPr>
        <w:t>青浦区</w:t>
      </w:r>
      <w:r>
        <w:rPr>
          <w:rStyle w:val="12"/>
          <w:rFonts w:ascii="仿宋_GB2312" w:hAnsi="Calibri" w:eastAsia="仿宋_GB2312" w:cs="Times New Roman"/>
          <w:snapToGrid/>
          <w:color w:val="000000"/>
          <w:kern w:val="2"/>
          <w:sz w:val="32"/>
          <w:szCs w:val="32"/>
          <w:lang w:val="en-US" w:eastAsia="zh-CN" w:bidi="ar-SA"/>
        </w:rPr>
        <w:t>人</w:t>
      </w:r>
      <w:r>
        <w:rPr>
          <w:rStyle w:val="12"/>
          <w:rFonts w:hint="eastAsia" w:ascii="仿宋_GB2312" w:hAnsi="Calibri" w:eastAsia="仿宋_GB2312" w:cs="Times New Roman"/>
          <w:snapToGrid/>
          <w:color w:val="000000"/>
          <w:kern w:val="2"/>
          <w:sz w:val="32"/>
          <w:szCs w:val="32"/>
          <w:lang w:val="en-US" w:eastAsia="zh-CN" w:bidi="ar-SA"/>
        </w:rPr>
        <w:t>民</w:t>
      </w:r>
      <w:r>
        <w:rPr>
          <w:rStyle w:val="12"/>
          <w:rFonts w:ascii="仿宋_GB2312" w:hAnsi="Calibri" w:eastAsia="仿宋_GB2312" w:cs="Times New Roman"/>
          <w:snapToGrid/>
          <w:color w:val="000000"/>
          <w:kern w:val="2"/>
          <w:sz w:val="32"/>
          <w:szCs w:val="32"/>
          <w:lang w:val="en-US" w:eastAsia="zh-CN" w:bidi="ar-SA"/>
        </w:rPr>
        <w:t>政府批复同意。根据《中华人民共和国安全生产法》《生产安全事故报告和调查处理条例》《上海市实施〈生产安全事故报告和调查处理条例〉的若干规定》《生产安全事故防范和整改措施落实情况评估办法》等有关规定，</w:t>
      </w:r>
      <w:r>
        <w:rPr>
          <w:rStyle w:val="12"/>
          <w:rFonts w:hint="eastAsia" w:ascii="仿宋_GB2312" w:hAnsi="Calibri" w:eastAsia="仿宋_GB2312" w:cs="Times New Roman"/>
          <w:snapToGrid/>
          <w:color w:val="000000"/>
          <w:kern w:val="2"/>
          <w:sz w:val="32"/>
          <w:szCs w:val="32"/>
          <w:lang w:val="en-US" w:eastAsia="zh-CN" w:bidi="ar-SA"/>
        </w:rPr>
        <w:t>青浦区</w:t>
      </w:r>
      <w:r>
        <w:rPr>
          <w:rStyle w:val="12"/>
          <w:rFonts w:ascii="仿宋_GB2312" w:hAnsi="Calibri" w:eastAsia="仿宋_GB2312" w:cs="Times New Roman"/>
          <w:snapToGrid/>
          <w:color w:val="000000"/>
          <w:kern w:val="2"/>
          <w:sz w:val="32"/>
          <w:szCs w:val="32"/>
          <w:lang w:val="en-US" w:eastAsia="zh-CN" w:bidi="ar-SA"/>
        </w:rPr>
        <w:t>应急管理局牵头会同相关部门成立评估组，于202</w:t>
      </w:r>
      <w:r>
        <w:rPr>
          <w:rStyle w:val="12"/>
          <w:rFonts w:hint="eastAsia" w:ascii="仿宋_GB2312" w:hAnsi="Calibri" w:eastAsia="仿宋_GB2312" w:cs="Times New Roman"/>
          <w:snapToGrid/>
          <w:color w:val="000000"/>
          <w:kern w:val="2"/>
          <w:sz w:val="32"/>
          <w:szCs w:val="32"/>
          <w:lang w:val="en-US" w:eastAsia="zh-CN" w:bidi="ar-SA"/>
        </w:rPr>
        <w:t>5</w:t>
      </w:r>
      <w:r>
        <w:rPr>
          <w:rStyle w:val="12"/>
          <w:rFonts w:ascii="仿宋_GB2312" w:hAnsi="Calibri" w:eastAsia="仿宋_GB2312" w:cs="Times New Roman"/>
          <w:snapToGrid/>
          <w:color w:val="000000"/>
          <w:kern w:val="2"/>
          <w:sz w:val="32"/>
          <w:szCs w:val="32"/>
          <w:lang w:val="en-US" w:eastAsia="zh-CN" w:bidi="ar-SA"/>
        </w:rPr>
        <w:t>年</w:t>
      </w:r>
      <w:r>
        <w:rPr>
          <w:rStyle w:val="12"/>
          <w:rFonts w:hint="eastAsia" w:ascii="仿宋_GB2312" w:hAnsi="Calibri" w:eastAsia="仿宋_GB2312" w:cs="Times New Roman"/>
          <w:snapToGrid/>
          <w:color w:val="000000"/>
          <w:kern w:val="2"/>
          <w:sz w:val="32"/>
          <w:szCs w:val="32"/>
          <w:lang w:val="en-US" w:eastAsia="zh-CN" w:bidi="ar-SA"/>
        </w:rPr>
        <w:t>5</w:t>
      </w:r>
      <w:r>
        <w:rPr>
          <w:rStyle w:val="12"/>
          <w:rFonts w:ascii="仿宋_GB2312" w:hAnsi="Calibri" w:eastAsia="仿宋_GB2312" w:cs="Times New Roman"/>
          <w:snapToGrid/>
          <w:color w:val="000000"/>
          <w:kern w:val="2"/>
          <w:sz w:val="32"/>
          <w:szCs w:val="32"/>
          <w:lang w:val="en-US" w:eastAsia="zh-CN" w:bidi="ar-SA"/>
        </w:rPr>
        <w:t>月</w:t>
      </w:r>
      <w:r>
        <w:rPr>
          <w:rStyle w:val="12"/>
          <w:rFonts w:hint="eastAsia" w:ascii="仿宋_GB2312" w:hAnsi="Calibri" w:eastAsia="仿宋_GB2312" w:cs="Times New Roman"/>
          <w:snapToGrid/>
          <w:color w:val="000000"/>
          <w:kern w:val="2"/>
          <w:sz w:val="32"/>
          <w:szCs w:val="32"/>
          <w:lang w:val="en-US" w:eastAsia="zh-CN" w:bidi="ar-SA"/>
        </w:rPr>
        <w:t>27</w:t>
      </w:r>
      <w:r>
        <w:rPr>
          <w:rStyle w:val="12"/>
          <w:rFonts w:ascii="仿宋_GB2312" w:hAnsi="Calibri" w:eastAsia="仿宋_GB2312" w:cs="Times New Roman"/>
          <w:snapToGrid/>
          <w:color w:val="000000"/>
          <w:kern w:val="2"/>
          <w:sz w:val="32"/>
          <w:szCs w:val="32"/>
          <w:lang w:val="en-US" w:eastAsia="zh-CN" w:bidi="ar-SA"/>
        </w:rPr>
        <w:t>日至</w:t>
      </w:r>
      <w:r>
        <w:rPr>
          <w:rStyle w:val="12"/>
          <w:rFonts w:hint="eastAsia" w:ascii="仿宋_GB2312" w:hAnsi="Calibri" w:eastAsia="仿宋_GB2312" w:cs="Times New Roman"/>
          <w:snapToGrid/>
          <w:color w:val="000000"/>
          <w:kern w:val="2"/>
          <w:sz w:val="32"/>
          <w:szCs w:val="32"/>
          <w:lang w:val="en-US" w:eastAsia="zh-CN" w:bidi="ar-SA"/>
        </w:rPr>
        <w:t>6</w:t>
      </w:r>
      <w:r>
        <w:rPr>
          <w:rStyle w:val="12"/>
          <w:rFonts w:ascii="仿宋_GB2312" w:hAnsi="Calibri" w:eastAsia="仿宋_GB2312" w:cs="Times New Roman"/>
          <w:snapToGrid/>
          <w:color w:val="000000"/>
          <w:kern w:val="2"/>
          <w:sz w:val="32"/>
          <w:szCs w:val="32"/>
          <w:lang w:val="en-US" w:eastAsia="zh-CN" w:bidi="ar-SA"/>
        </w:rPr>
        <w:t>月</w:t>
      </w:r>
      <w:r>
        <w:rPr>
          <w:rStyle w:val="12"/>
          <w:rFonts w:hint="eastAsia" w:ascii="仿宋_GB2312" w:hAnsi="Calibri" w:eastAsia="仿宋_GB2312" w:cs="Times New Roman"/>
          <w:snapToGrid/>
          <w:color w:val="000000"/>
          <w:kern w:val="2"/>
          <w:sz w:val="32"/>
          <w:szCs w:val="32"/>
          <w:lang w:val="en-US" w:eastAsia="zh-CN" w:bidi="ar-SA"/>
        </w:rPr>
        <w:t>30</w:t>
      </w:r>
      <w:r>
        <w:rPr>
          <w:rStyle w:val="12"/>
          <w:rFonts w:ascii="仿宋_GB2312" w:hAnsi="Calibri" w:eastAsia="仿宋_GB2312" w:cs="Times New Roman"/>
          <w:snapToGrid/>
          <w:color w:val="000000"/>
          <w:kern w:val="2"/>
          <w:sz w:val="32"/>
          <w:szCs w:val="32"/>
          <w:lang w:val="en-US" w:eastAsia="zh-CN" w:bidi="ar-SA"/>
        </w:rPr>
        <w:t>日开展事故整改和防范措施落实情况评估，形成本评估</w:t>
      </w:r>
      <w:r>
        <w:rPr>
          <w:rStyle w:val="12"/>
          <w:rFonts w:hint="eastAsia" w:ascii="仿宋_GB2312" w:hAnsi="Calibri" w:eastAsia="仿宋_GB2312" w:cs="Times New Roman"/>
          <w:snapToGrid/>
          <w:color w:val="000000"/>
          <w:kern w:val="2"/>
          <w:sz w:val="32"/>
          <w:szCs w:val="32"/>
          <w:lang w:val="en-US" w:eastAsia="zh-CN" w:bidi="ar-SA"/>
        </w:rPr>
        <w:t>报告</w:t>
      </w:r>
      <w:r>
        <w:rPr>
          <w:rStyle w:val="12"/>
          <w:rFonts w:ascii="仿宋_GB2312" w:hAnsi="Calibri" w:eastAsia="仿宋_GB2312" w:cs="Times New Roman"/>
          <w:snapToGrid/>
          <w:color w:val="000000"/>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按照“谁牵头调查，谁组织评估”原则，</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应急管理局会同</w:t>
      </w:r>
      <w:r>
        <w:rPr>
          <w:rStyle w:val="12"/>
          <w:rFonts w:hint="eastAsia" w:ascii="仿宋_GB2312" w:hAnsi="Calibri" w:eastAsia="仿宋_GB2312" w:cs="Times New Roman"/>
          <w:snapToGrid/>
          <w:color w:val="000000"/>
          <w:kern w:val="2"/>
          <w:sz w:val="32"/>
          <w:szCs w:val="32"/>
          <w:lang w:val="en-US" w:eastAsia="zh-CN" w:bidi="ar-SA"/>
        </w:rPr>
        <w:t>上海市</w:t>
      </w:r>
      <w:r>
        <w:rPr>
          <w:rStyle w:val="12"/>
          <w:rFonts w:ascii="仿宋_GB2312" w:hAnsi="Calibri" w:eastAsia="仿宋_GB2312" w:cs="Times New Roman"/>
          <w:snapToGrid/>
          <w:color w:val="000000"/>
          <w:kern w:val="2"/>
          <w:sz w:val="32"/>
          <w:szCs w:val="32"/>
          <w:lang w:val="en-US" w:eastAsia="zh-CN" w:bidi="ar-SA"/>
        </w:rPr>
        <w:t>公安</w:t>
      </w:r>
      <w:r>
        <w:rPr>
          <w:rStyle w:val="12"/>
          <w:rFonts w:hint="eastAsia" w:ascii="仿宋_GB2312" w:hAnsi="Calibri" w:eastAsia="仿宋_GB2312" w:cs="Times New Roman"/>
          <w:snapToGrid/>
          <w:color w:val="000000"/>
          <w:kern w:val="2"/>
          <w:sz w:val="32"/>
          <w:szCs w:val="32"/>
          <w:lang w:val="en-US" w:eastAsia="zh-CN" w:bidi="ar-SA"/>
        </w:rPr>
        <w:t>局青浦分局</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总工会、</w:t>
      </w:r>
      <w:r>
        <w:rPr>
          <w:rStyle w:val="12"/>
          <w:rFonts w:hint="eastAsia" w:ascii="仿宋_GB2312" w:hAnsi="Calibri" w:eastAsia="仿宋_GB2312" w:cs="Times New Roman"/>
          <w:snapToGrid/>
          <w:color w:val="000000"/>
          <w:kern w:val="2"/>
          <w:sz w:val="32"/>
          <w:szCs w:val="32"/>
          <w:lang w:val="en-US" w:eastAsia="zh-CN" w:bidi="ar-SA"/>
        </w:rPr>
        <w:t>朱家角镇人民政府</w:t>
      </w:r>
      <w:r>
        <w:rPr>
          <w:rStyle w:val="12"/>
          <w:rFonts w:ascii="仿宋_GB2312" w:hAnsi="Calibri" w:eastAsia="仿宋_GB2312" w:cs="Times New Roman"/>
          <w:snapToGrid/>
          <w:color w:val="000000"/>
          <w:kern w:val="2"/>
          <w:sz w:val="32"/>
          <w:szCs w:val="32"/>
          <w:lang w:val="en-US" w:eastAsia="zh-CN" w:bidi="ar-SA"/>
        </w:rPr>
        <w:t>组成</w:t>
      </w:r>
      <w:r>
        <w:rPr>
          <w:rStyle w:val="12"/>
          <w:rFonts w:hint="eastAsia" w:ascii="仿宋_GB2312" w:hAnsi="Calibri" w:eastAsia="仿宋_GB2312" w:cs="Times New Roman"/>
          <w:snapToGrid/>
          <w:color w:val="000000"/>
          <w:kern w:val="2"/>
          <w:sz w:val="32"/>
          <w:szCs w:val="32"/>
          <w:lang w:val="en-US" w:eastAsia="zh-CN" w:bidi="ar-SA"/>
        </w:rPr>
        <w:t>上海君木住宅配套工程有限公司“2</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26</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高处坠落一般</w:t>
      </w:r>
      <w:r>
        <w:rPr>
          <w:rStyle w:val="12"/>
          <w:rFonts w:ascii="仿宋_GB2312" w:hAnsi="Calibri" w:eastAsia="仿宋_GB2312" w:cs="Times New Roman"/>
          <w:snapToGrid/>
          <w:color w:val="000000"/>
          <w:kern w:val="2"/>
          <w:sz w:val="32"/>
          <w:szCs w:val="32"/>
          <w:lang w:val="en-US" w:eastAsia="zh-CN" w:bidi="ar-SA"/>
        </w:rPr>
        <w:t>事故整改和防范措施落实情况评估组（以下简称评估组），委托上海</w:t>
      </w:r>
      <w:r>
        <w:rPr>
          <w:rStyle w:val="12"/>
          <w:rFonts w:hint="eastAsia" w:ascii="仿宋_GB2312" w:hAnsi="Calibri" w:eastAsia="仿宋_GB2312" w:cs="Times New Roman"/>
          <w:snapToGrid/>
          <w:color w:val="000000"/>
          <w:kern w:val="2"/>
          <w:sz w:val="32"/>
          <w:szCs w:val="32"/>
          <w:lang w:val="en-US" w:eastAsia="zh-CN" w:bidi="ar-SA"/>
        </w:rPr>
        <w:t>欣企安全生产咨询服务有限公司</w:t>
      </w:r>
      <w:r>
        <w:rPr>
          <w:rStyle w:val="12"/>
          <w:rFonts w:ascii="仿宋_GB2312" w:hAnsi="Calibri" w:eastAsia="仿宋_GB2312" w:cs="Times New Roman"/>
          <w:snapToGrid/>
          <w:color w:val="000000"/>
          <w:kern w:val="2"/>
          <w:sz w:val="32"/>
          <w:szCs w:val="32"/>
          <w:lang w:val="en-US" w:eastAsia="zh-CN" w:bidi="ar-SA"/>
        </w:rPr>
        <w:t>及相关专家参与评估。</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按照“科学严谨，依法依规，实事求是，注重实效”的原则评估组对照事故调查报告及批复，听取工作汇报，查阅台账资料</w:t>
      </w:r>
      <w:r>
        <w:rPr>
          <w:rStyle w:val="12"/>
          <w:rFonts w:hint="eastAsia" w:ascii="仿宋_GB2312" w:hAnsi="Calibri" w:eastAsia="仿宋_GB2312" w:cs="Times New Roman"/>
          <w:snapToGrid/>
          <w:color w:val="000000"/>
          <w:kern w:val="2"/>
          <w:sz w:val="32"/>
          <w:szCs w:val="32"/>
          <w:lang w:val="en-US" w:eastAsia="zh-CN" w:bidi="ar-SA"/>
        </w:rPr>
        <w:t>，</w:t>
      </w:r>
      <w:r>
        <w:rPr>
          <w:rStyle w:val="12"/>
          <w:rFonts w:ascii="仿宋_GB2312" w:hAnsi="Calibri" w:eastAsia="仿宋_GB2312" w:cs="Times New Roman"/>
          <w:snapToGrid/>
          <w:color w:val="000000"/>
          <w:kern w:val="2"/>
          <w:sz w:val="32"/>
          <w:szCs w:val="32"/>
          <w:lang w:val="en-US" w:eastAsia="zh-CN" w:bidi="ar-SA"/>
        </w:rPr>
        <w:t>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202</w:t>
      </w:r>
      <w:r>
        <w:rPr>
          <w:rStyle w:val="12"/>
          <w:rFonts w:hint="eastAsia" w:ascii="仿宋_GB2312" w:hAnsi="Calibri" w:eastAsia="仿宋_GB2312" w:cs="Times New Roman"/>
          <w:snapToGrid/>
          <w:color w:val="000000"/>
          <w:kern w:val="2"/>
          <w:sz w:val="32"/>
          <w:szCs w:val="32"/>
          <w:lang w:val="en-US" w:eastAsia="zh-CN" w:bidi="ar-SA"/>
        </w:rPr>
        <w:t>4</w:t>
      </w:r>
      <w:r>
        <w:rPr>
          <w:rStyle w:val="12"/>
          <w:rFonts w:ascii="仿宋_GB2312" w:hAnsi="Calibri" w:eastAsia="仿宋_GB2312" w:cs="Times New Roman"/>
          <w:snapToGrid/>
          <w:color w:val="000000"/>
          <w:kern w:val="2"/>
          <w:sz w:val="32"/>
          <w:szCs w:val="32"/>
          <w:lang w:val="en-US" w:eastAsia="zh-CN" w:bidi="ar-SA"/>
        </w:rPr>
        <w:t>年</w:t>
      </w:r>
      <w:r>
        <w:rPr>
          <w:rStyle w:val="12"/>
          <w:rFonts w:hint="eastAsia" w:hAnsi="Calibri" w:cs="Times New Roman"/>
          <w:snapToGrid/>
          <w:color w:val="000000"/>
          <w:kern w:val="2"/>
          <w:sz w:val="32"/>
          <w:szCs w:val="32"/>
          <w:lang w:val="en-US" w:eastAsia="zh-CN" w:bidi="ar-SA"/>
        </w:rPr>
        <w:t>6</w:t>
      </w:r>
      <w:r>
        <w:rPr>
          <w:rStyle w:val="12"/>
          <w:rFonts w:ascii="仿宋_GB2312" w:hAnsi="Calibri" w:eastAsia="仿宋_GB2312" w:cs="Times New Roman"/>
          <w:snapToGrid/>
          <w:color w:val="000000"/>
          <w:kern w:val="2"/>
          <w:sz w:val="32"/>
          <w:szCs w:val="32"/>
          <w:lang w:val="en-US" w:eastAsia="zh-CN" w:bidi="ar-SA"/>
        </w:rPr>
        <w:t>月</w:t>
      </w:r>
      <w:r>
        <w:rPr>
          <w:rStyle w:val="12"/>
          <w:rFonts w:hint="eastAsia" w:ascii="仿宋_GB2312" w:hAnsi="Calibri" w:eastAsia="仿宋_GB2312" w:cs="Times New Roman"/>
          <w:snapToGrid/>
          <w:color w:val="000000"/>
          <w:kern w:val="2"/>
          <w:sz w:val="32"/>
          <w:szCs w:val="32"/>
          <w:lang w:val="en-US" w:eastAsia="zh-CN" w:bidi="ar-SA"/>
        </w:rPr>
        <w:t>28</w:t>
      </w:r>
      <w:r>
        <w:rPr>
          <w:rStyle w:val="12"/>
          <w:rFonts w:ascii="仿宋_GB2312" w:hAnsi="Calibri" w:eastAsia="仿宋_GB2312" w:cs="Times New Roman"/>
          <w:snapToGrid/>
          <w:color w:val="000000"/>
          <w:kern w:val="2"/>
          <w:sz w:val="32"/>
          <w:szCs w:val="32"/>
          <w:lang w:val="en-US" w:eastAsia="zh-CN" w:bidi="ar-SA"/>
        </w:rPr>
        <w:t>日，</w:t>
      </w:r>
      <w:r>
        <w:rPr>
          <w:rStyle w:val="12"/>
          <w:rFonts w:hint="eastAsia" w:ascii="仿宋_GB2312" w:hAnsi="Calibri" w:eastAsia="仿宋_GB2312" w:cs="Times New Roman"/>
          <w:snapToGrid/>
          <w:color w:val="000000"/>
          <w:kern w:val="2"/>
          <w:sz w:val="32"/>
          <w:szCs w:val="32"/>
          <w:lang w:val="en-US" w:eastAsia="zh-CN" w:bidi="ar-SA"/>
        </w:rPr>
        <w:t>上海市青浦区应急管理局</w:t>
      </w:r>
      <w:r>
        <w:rPr>
          <w:rStyle w:val="12"/>
          <w:rFonts w:ascii="仿宋_GB2312" w:hAnsi="Calibri" w:eastAsia="仿宋_GB2312" w:cs="Times New Roman"/>
          <w:snapToGrid/>
          <w:color w:val="000000"/>
          <w:kern w:val="2"/>
          <w:sz w:val="32"/>
          <w:szCs w:val="32"/>
          <w:lang w:val="en-US" w:eastAsia="zh-CN" w:bidi="ar-SA"/>
        </w:rPr>
        <w:t>（以下简称</w:t>
      </w:r>
      <w:r>
        <w:rPr>
          <w:rStyle w:val="12"/>
          <w:rFonts w:hint="eastAsia" w:ascii="仿宋_GB2312" w:hAnsi="Calibri" w:eastAsia="仿宋_GB2312" w:cs="Times New Roman"/>
          <w:snapToGrid/>
          <w:color w:val="000000"/>
          <w:kern w:val="2"/>
          <w:sz w:val="32"/>
          <w:szCs w:val="32"/>
          <w:lang w:val="en-US" w:eastAsia="zh-CN" w:bidi="ar-SA"/>
        </w:rPr>
        <w:t>区应急管理</w:t>
      </w:r>
      <w:r>
        <w:rPr>
          <w:rStyle w:val="12"/>
          <w:rFonts w:ascii="仿宋_GB2312" w:hAnsi="Calibri" w:eastAsia="仿宋_GB2312" w:cs="Times New Roman"/>
          <w:snapToGrid/>
          <w:color w:val="000000"/>
          <w:kern w:val="2"/>
          <w:sz w:val="32"/>
          <w:szCs w:val="32"/>
          <w:lang w:val="en-US" w:eastAsia="zh-CN" w:bidi="ar-SA"/>
        </w:rPr>
        <w:t>局）按照事故责任认定及处理建议</w:t>
      </w:r>
      <w:r>
        <w:rPr>
          <w:rStyle w:val="12"/>
          <w:rFonts w:hint="eastAsia" w:ascii="仿宋_GB2312" w:hAnsi="Calibri" w:eastAsia="仿宋_GB2312" w:cs="Times New Roman"/>
          <w:snapToGrid/>
          <w:color w:val="0000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对事故责任单位上海君木住宅配套工程有限公司作出罚款35万元的行政处罚决定；</w:t>
      </w:r>
      <w:r>
        <w:rPr>
          <w:rStyle w:val="12"/>
          <w:rFonts w:ascii="仿宋_GB2312" w:hAnsi="Calibri" w:eastAsia="仿宋_GB2312" w:cs="Times New Roman"/>
          <w:snapToGrid/>
          <w:color w:val="000000"/>
          <w:kern w:val="2"/>
          <w:sz w:val="32"/>
          <w:szCs w:val="32"/>
          <w:lang w:val="en-US" w:eastAsia="zh-CN" w:bidi="ar-SA"/>
        </w:rPr>
        <w:t>对事故责任</w:t>
      </w:r>
      <w:r>
        <w:rPr>
          <w:rStyle w:val="12"/>
          <w:rFonts w:hint="eastAsia" w:ascii="仿宋_GB2312" w:hAnsi="Calibri" w:eastAsia="仿宋_GB2312" w:cs="Times New Roman"/>
          <w:snapToGrid/>
          <w:color w:val="000000"/>
          <w:kern w:val="2"/>
          <w:sz w:val="32"/>
          <w:szCs w:val="32"/>
          <w:lang w:val="en-US" w:eastAsia="zh-CN" w:bidi="ar-SA"/>
        </w:rPr>
        <w:t>人上海君木住宅配套工程有限公司总经理李清作出罚款</w:t>
      </w:r>
      <w:r>
        <w:rPr>
          <w:rStyle w:val="12"/>
          <w:rFonts w:ascii="仿宋_GB2312" w:hAnsi="Calibri" w:eastAsia="仿宋_GB2312" w:cs="Times New Roman"/>
          <w:snapToGrid/>
          <w:color w:val="000000"/>
          <w:kern w:val="2"/>
          <w:sz w:val="32"/>
          <w:szCs w:val="32"/>
          <w:lang w:val="en-US" w:eastAsia="zh-CN" w:bidi="ar-SA"/>
        </w:rPr>
        <w:t>罚款</w:t>
      </w:r>
      <w:r>
        <w:rPr>
          <w:rStyle w:val="12"/>
          <w:rFonts w:hint="eastAsia" w:ascii="仿宋_GB2312" w:hAnsi="Calibri" w:eastAsia="仿宋_GB2312" w:cs="Times New Roman"/>
          <w:snapToGrid/>
          <w:color w:val="000000"/>
          <w:kern w:val="2"/>
          <w:sz w:val="32"/>
          <w:szCs w:val="32"/>
          <w:lang w:val="en-US" w:eastAsia="zh-CN" w:bidi="ar-SA"/>
        </w:rPr>
        <w:t>24800</w:t>
      </w:r>
      <w:r>
        <w:rPr>
          <w:rStyle w:val="12"/>
          <w:rFonts w:ascii="仿宋_GB2312" w:hAnsi="Calibri" w:eastAsia="仿宋_GB2312" w:cs="Times New Roman"/>
          <w:snapToGrid/>
          <w:color w:val="000000"/>
          <w:kern w:val="2"/>
          <w:sz w:val="32"/>
          <w:szCs w:val="32"/>
          <w:lang w:val="en-US" w:eastAsia="zh-CN" w:bidi="ar-SA"/>
        </w:rPr>
        <w:t>元</w:t>
      </w:r>
      <w:r>
        <w:rPr>
          <w:rStyle w:val="12"/>
          <w:rFonts w:hint="eastAsia" w:ascii="仿宋_GB2312" w:hAnsi="Calibri" w:eastAsia="仿宋_GB2312" w:cs="Times New Roman"/>
          <w:snapToGrid/>
          <w:color w:val="000000"/>
          <w:kern w:val="2"/>
          <w:sz w:val="32"/>
          <w:szCs w:val="32"/>
          <w:lang w:val="en-US" w:eastAsia="zh-CN" w:bidi="ar-SA"/>
        </w:rPr>
        <w:t>的行政处罚决定。</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经核实，</w:t>
      </w:r>
      <w:r>
        <w:rPr>
          <w:rStyle w:val="12"/>
          <w:rFonts w:ascii="仿宋_GB2312" w:hAnsi="Calibri" w:eastAsia="仿宋_GB2312" w:cs="Times New Roman"/>
          <w:snapToGrid/>
          <w:color w:val="000000"/>
          <w:kern w:val="2"/>
          <w:sz w:val="32"/>
          <w:szCs w:val="32"/>
          <w:lang w:val="en-US" w:eastAsia="zh-CN" w:bidi="ar-SA"/>
        </w:rPr>
        <w:t>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（一）上海君木住宅配套工程有限公司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重新制定安全生产责任制，特种机械设备检测、备案、管理办法，安全操作规程、各项管理制度，每天下班前对设备进行检查，与设备操作员工签订了安全责任书。通过宣传栏、标语</w:t>
      </w:r>
      <w:r>
        <w:rPr>
          <w:rStyle w:val="12"/>
          <w:rFonts w:hint="eastAsia" w:hAnsi="Calibri" w:cs="Times New Roman"/>
          <w:snapToGrid/>
          <w:color w:val="000000"/>
          <w:kern w:val="2"/>
          <w:sz w:val="32"/>
          <w:szCs w:val="32"/>
          <w:lang w:val="en-US" w:eastAsia="zh-CN" w:bidi="ar-SA"/>
        </w:rPr>
        <w:t>等</w:t>
      </w:r>
      <w:r>
        <w:rPr>
          <w:rStyle w:val="12"/>
          <w:rFonts w:hint="eastAsia" w:ascii="仿宋_GB2312" w:hAnsi="Calibri" w:eastAsia="仿宋_GB2312" w:cs="Times New Roman"/>
          <w:snapToGrid/>
          <w:color w:val="000000"/>
          <w:kern w:val="2"/>
          <w:sz w:val="32"/>
          <w:szCs w:val="32"/>
          <w:lang w:val="en-US" w:eastAsia="zh-CN" w:bidi="ar-SA"/>
        </w:rPr>
        <w:t>各种形式使员工明确自己岗位存在的危害因素及预防措施。</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健全完善安全管理</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公司从总经理开始至各作业工种、岗位配备了劳动防护用品，明确了安全管理职责。</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防高坠安全管理</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为杜绝防高坠再次发生，保障员工的人身安全</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高空作业必须按规范带好安全保险带，经常检查保险带搭扣，保险绳索。</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4、</w:t>
      </w:r>
      <w:r>
        <w:rPr>
          <w:rStyle w:val="12"/>
          <w:rFonts w:hint="eastAsia" w:ascii="仿宋_GB2312" w:hAnsi="Calibri" w:eastAsia="仿宋_GB2312" w:cs="Times New Roman"/>
          <w:snapToGrid/>
          <w:color w:val="000000"/>
          <w:kern w:val="2"/>
          <w:sz w:val="32"/>
          <w:szCs w:val="32"/>
          <w:lang w:val="en-US" w:eastAsia="zh-CN" w:bidi="ar-SA"/>
        </w:rPr>
        <w:t>按规定发放劳保用品</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要求操作人员、生产人员养成自觉使用劳保用品的好习惯。对丧失保护功能或超期失效的坚决撤换，及时配备合格的劳保用品，加强对特种设备作业人员配备和使用情况的管理。工作中正确使用劳保用品，教育操作人员提高自我保护意识，戒除麻痹大意、侥幸等思想。</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5、</w:t>
      </w:r>
      <w:r>
        <w:rPr>
          <w:rStyle w:val="12"/>
          <w:rFonts w:hint="eastAsia" w:ascii="仿宋_GB2312" w:hAnsi="Calibri" w:eastAsia="仿宋_GB2312" w:cs="Times New Roman"/>
          <w:snapToGrid/>
          <w:color w:val="000000"/>
          <w:kern w:val="2"/>
          <w:sz w:val="32"/>
          <w:szCs w:val="32"/>
          <w:lang w:val="en-US" w:eastAsia="zh-CN" w:bidi="ar-SA"/>
        </w:rPr>
        <w:t>消防安全</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所有电气设备，做好防潮处理，保持良好绝缘、开关、闸刀漏保应安装在安全位置。配备相应的消防器材，</w:t>
      </w:r>
      <w:r>
        <w:rPr>
          <w:rStyle w:val="12"/>
          <w:rFonts w:hint="eastAsia" w:hAnsi="Calibri" w:cs="Times New Roman"/>
          <w:snapToGrid/>
          <w:color w:val="000000"/>
          <w:kern w:val="2"/>
          <w:sz w:val="32"/>
          <w:szCs w:val="32"/>
          <w:lang w:val="en-US" w:eastAsia="zh-CN" w:bidi="ar-SA"/>
        </w:rPr>
        <w:t>并</w:t>
      </w:r>
      <w:r>
        <w:rPr>
          <w:rStyle w:val="12"/>
          <w:rFonts w:hint="eastAsia" w:ascii="仿宋_GB2312" w:hAnsi="Calibri" w:eastAsia="仿宋_GB2312" w:cs="Times New Roman"/>
          <w:snapToGrid/>
          <w:color w:val="000000"/>
          <w:kern w:val="2"/>
          <w:sz w:val="32"/>
          <w:szCs w:val="32"/>
          <w:lang w:val="en-US" w:eastAsia="zh-CN" w:bidi="ar-SA"/>
        </w:rPr>
        <w:t>熟悉放置地点和使用方法。</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（二）朱家角镇人民政府</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提高思想认识，全面加强组织领导</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事故发生后，朱家角镇高度重视，成立事故处置专班，积极妥善做好事故善后处置工作。同时，结合上级工作要求部署，印发《朱家角镇安全生产治本攻坚三年行动方案》《朱家角镇除险保安工程》等文件，召开安全工作会议，明确要求加强特种设备等重点领域、高处作业等高危环节的整治力度，摸清重点领域风险隐患，动态更新风险清单，全面提升安全风险防范效能。同时不定期组织开展安全大检查活动，尤其是结合季节、节假日、重大活动等，加强安全警示提示，督促各相关单位时刻绷紧安全思想弦，聚焦防范重点，抓实抓细安全工作措施。</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紧盯辖区企业，督促落实主体责任</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严格督促事故企业加强隐患整改，联合区特种设备科特检所规范该企业行车备案，还开展了“事故单位回头看”工作，针对安全生产规章制度落实不力、作业人员意识淡薄、事故隐患排查治理履行不力等问题，紧紧压实企业主体责任，督促企业建立健全安全管理体系，鼓励建立完善生产经营单位事故隐患内部报告奖励机制；定期开展员工安全教育培训，切实提升从业人员能力；严格确保作业人员持证上岗；加强设备设施管理；落实作业现场安全管理措施，及时消除安全隐患。</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强化风险防范，大力推进隐患排查</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通过以案为鉴，进一步推进安全生产三年行动和除险保安工程,结合各类重点领域整治和专项整治,持续推进隐患排查整改发动村居、镇属企业等开展安全生产和消防安全大检查活动，建立隐患整改动态清单，对一般隐患落实立行立改，对一时难以消除的隐患，做到整改有计划，明确责任人和整改时限，确保措施到位、人员到位，切实落实隐患闭环管理，24年至今发现并整治重大事故隐患14处。其中，对全镇与事故企业类似集装箱企业进行了摸排，共发现有3家租赁型企业，重点就对高空作业和特种设备，重点检查作业人员防护装置佩戴、持证上岗情况和企业单位安全制度、现场管理落实情况等，加强了日常督导。</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4、</w:t>
      </w:r>
      <w:r>
        <w:rPr>
          <w:rStyle w:val="12"/>
          <w:rFonts w:hint="eastAsia" w:ascii="仿宋_GB2312" w:hAnsi="Calibri" w:eastAsia="仿宋_GB2312" w:cs="Times New Roman"/>
          <w:snapToGrid/>
          <w:color w:val="000000"/>
          <w:kern w:val="2"/>
          <w:sz w:val="32"/>
          <w:szCs w:val="32"/>
          <w:lang w:val="en-US" w:eastAsia="zh-CN" w:bidi="ar-SA"/>
        </w:rPr>
        <w:t>树牢安全意识，广泛开展宣传培训</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深入开展安全宣传教育活动，依托安全生产月、消防安全宣传周、安全生产法宣传周等主题，面向企业员工、个体商户、社区居民等各类群体，常态化推进安全“五进”活动，包括针对企业一线员工的普及型安全生产和消防安全知识普及型培训、针对各社区义务救援力量的社区消防志愿者培训等，全力提升全社会“人人讲安全 个个会应急”能力，推动建立“多元参与、协同共享”的治理格局。</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评估组按照事故调查报告及其批复要求，经资料审查、座谈问询、查阅文件、走访核查、专业评查，对该起事故处理、整改和防范措施落实情况进行综合评估后认为：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bookmarkStart w:id="1" w:name="_Hlk179897897"/>
      <w:r>
        <w:rPr>
          <w:rStyle w:val="12"/>
          <w:rFonts w:hint="eastAsia" w:ascii="仿宋_GB2312" w:hAnsi="Calibri" w:eastAsia="仿宋_GB2312" w:cs="Times New Roman"/>
          <w:snapToGrid/>
          <w:color w:val="000000"/>
          <w:kern w:val="2"/>
          <w:sz w:val="32"/>
          <w:szCs w:val="32"/>
          <w:lang w:val="en-US" w:eastAsia="zh-CN" w:bidi="ar-SA"/>
        </w:rPr>
        <w:t>（一）建议上海君木住宅配套工程有限公司继续严格落实安全生产责任制，并定期进行安全生产责任制和责任目标的考核。切实做好作业人员的安全培训教育工作，加强现场安全管理工作。</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二）建议上海君木住宅配套工程有限公司针对第三方安全作业，制定相关安全管理制度。针对不同作业的作业流程分析潜在的不安全风险，切实做好防护安全工作和人员安排，做好相关人员安全交底。从工程控制，技术改进方面考虑，全面控制不安全问题的发生，杜绝一切可能发生的安全事故。</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三）建议上海君木住宅配套工程有限公司继续加强作业过程中的安全检查、巡查，贯彻落实隐患排查治理制度，及时发现并消除事故隐患，及时发现并制止作业过程中的动态安全隐患，早发现早预防。切实做好施工人员安全培训工作，不断提高人员的安全意识和制止不安全行为的发生，确保施工过程安全可靠，谨防事故发生。</w:t>
      </w:r>
    </w:p>
    <w:p>
      <w:pPr>
        <w:pStyle w:val="6"/>
        <w:spacing w:line="328" w:lineRule="auto"/>
        <w:ind w:right="112" w:firstLine="638"/>
        <w:jc w:val="both"/>
        <w:rPr>
          <w:rFonts w:hint="eastAsia" w:asciiTheme="minorEastAsia" w:hAnsiTheme="minorEastAsia" w:eastAsiaTheme="minorEastAsia"/>
          <w:sz w:val="32"/>
          <w:szCs w:val="32"/>
          <w:lang w:eastAsia="zh-CN"/>
        </w:rPr>
      </w:pPr>
    </w:p>
    <w:bookmarkEnd w:id="1"/>
    <w:p>
      <w:pPr>
        <w:pStyle w:val="6"/>
        <w:spacing w:before="141" w:line="311" w:lineRule="auto"/>
        <w:ind w:left="3" w:firstLine="634"/>
        <w:jc w:val="both"/>
        <w:rPr>
          <w:rFonts w:hint="eastAsia" w:asciiTheme="minorEastAsia" w:hAnsiTheme="minorEastAsia" w:eastAsiaTheme="minorEastAsia"/>
          <w:spacing w:val="5"/>
          <w:sz w:val="32"/>
          <w:szCs w:val="32"/>
          <w:lang w:eastAsia="zh-CN"/>
        </w:rPr>
      </w:pP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上海君木住宅配套工程有限公司“2.26”高处坠落</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一般事故整改和防范措施情况评估组</w:t>
      </w:r>
    </w:p>
    <w:p>
      <w:pPr>
        <w:widowControl w:val="0"/>
        <w:kinsoku/>
        <w:autoSpaceDE/>
        <w:autoSpaceDN/>
        <w:adjustRightInd/>
        <w:snapToGrid/>
        <w:spacing w:line="560" w:lineRule="exact"/>
        <w:ind w:firstLine="640" w:firstLineChars="200"/>
        <w:jc w:val="right"/>
        <w:rPr>
          <w:rStyle w:val="12"/>
          <w:rFonts w:hint="default"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eastAsia="zh-CN"/>
        </w:rPr>
        <w:t>2025年</w:t>
      </w:r>
      <w:r>
        <w:rPr>
          <w:rStyle w:val="12"/>
          <w:rFonts w:hint="eastAsia" w:ascii="仿宋_GB2312" w:hAnsi="Calibri" w:eastAsia="仿宋_GB2312" w:cs="Times New Roman"/>
          <w:snapToGrid/>
          <w:kern w:val="2"/>
          <w:sz w:val="32"/>
          <w:szCs w:val="32"/>
          <w:lang w:val="en-US" w:eastAsia="zh-CN"/>
        </w:rPr>
        <w:t>6</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30日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姚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方正行楷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140CC"/>
    <w:rsid w:val="00033843"/>
    <w:rsid w:val="00060D57"/>
    <w:rsid w:val="000612EF"/>
    <w:rsid w:val="00094489"/>
    <w:rsid w:val="000B5CDE"/>
    <w:rsid w:val="000C10BF"/>
    <w:rsid w:val="000C1ADB"/>
    <w:rsid w:val="000D1332"/>
    <w:rsid w:val="000F0079"/>
    <w:rsid w:val="00135E28"/>
    <w:rsid w:val="00136FF6"/>
    <w:rsid w:val="00161533"/>
    <w:rsid w:val="00166A17"/>
    <w:rsid w:val="0018765D"/>
    <w:rsid w:val="00187BB6"/>
    <w:rsid w:val="001D02C3"/>
    <w:rsid w:val="001D686B"/>
    <w:rsid w:val="001F0CAB"/>
    <w:rsid w:val="00215989"/>
    <w:rsid w:val="002172BB"/>
    <w:rsid w:val="002209AC"/>
    <w:rsid w:val="00224AD7"/>
    <w:rsid w:val="002318F6"/>
    <w:rsid w:val="00232F7F"/>
    <w:rsid w:val="002334BA"/>
    <w:rsid w:val="002533FC"/>
    <w:rsid w:val="00276526"/>
    <w:rsid w:val="00292217"/>
    <w:rsid w:val="002B18AB"/>
    <w:rsid w:val="002B23E2"/>
    <w:rsid w:val="002C42DE"/>
    <w:rsid w:val="003035AE"/>
    <w:rsid w:val="00307DFD"/>
    <w:rsid w:val="00346849"/>
    <w:rsid w:val="003559FC"/>
    <w:rsid w:val="003A3FD6"/>
    <w:rsid w:val="003C4C3B"/>
    <w:rsid w:val="003C66DD"/>
    <w:rsid w:val="003E3EEA"/>
    <w:rsid w:val="003E7CA8"/>
    <w:rsid w:val="004017D8"/>
    <w:rsid w:val="00441B51"/>
    <w:rsid w:val="0045440E"/>
    <w:rsid w:val="004851EA"/>
    <w:rsid w:val="004930F4"/>
    <w:rsid w:val="004956E9"/>
    <w:rsid w:val="004C2307"/>
    <w:rsid w:val="004C2CDA"/>
    <w:rsid w:val="004C5575"/>
    <w:rsid w:val="00516621"/>
    <w:rsid w:val="005178CB"/>
    <w:rsid w:val="00550B57"/>
    <w:rsid w:val="0056251C"/>
    <w:rsid w:val="0058492E"/>
    <w:rsid w:val="005B7166"/>
    <w:rsid w:val="005D3499"/>
    <w:rsid w:val="005E4C43"/>
    <w:rsid w:val="00602760"/>
    <w:rsid w:val="00626061"/>
    <w:rsid w:val="00627A60"/>
    <w:rsid w:val="0066241E"/>
    <w:rsid w:val="006A18AE"/>
    <w:rsid w:val="006A58C8"/>
    <w:rsid w:val="006C2780"/>
    <w:rsid w:val="006F4831"/>
    <w:rsid w:val="007028A7"/>
    <w:rsid w:val="00704484"/>
    <w:rsid w:val="00780648"/>
    <w:rsid w:val="007930A0"/>
    <w:rsid w:val="007B276F"/>
    <w:rsid w:val="007C5D76"/>
    <w:rsid w:val="008006D2"/>
    <w:rsid w:val="00835C2C"/>
    <w:rsid w:val="008422C4"/>
    <w:rsid w:val="00882583"/>
    <w:rsid w:val="008831FD"/>
    <w:rsid w:val="008C2028"/>
    <w:rsid w:val="008C2463"/>
    <w:rsid w:val="008E2486"/>
    <w:rsid w:val="008F3F3F"/>
    <w:rsid w:val="008F4F29"/>
    <w:rsid w:val="00953491"/>
    <w:rsid w:val="0095749B"/>
    <w:rsid w:val="0096514A"/>
    <w:rsid w:val="00966773"/>
    <w:rsid w:val="009C7BA1"/>
    <w:rsid w:val="009D03C7"/>
    <w:rsid w:val="009D6D8A"/>
    <w:rsid w:val="00A2572B"/>
    <w:rsid w:val="00A67385"/>
    <w:rsid w:val="00A75191"/>
    <w:rsid w:val="00A82407"/>
    <w:rsid w:val="00A97E6E"/>
    <w:rsid w:val="00AA0C47"/>
    <w:rsid w:val="00AA78F8"/>
    <w:rsid w:val="00AD3E86"/>
    <w:rsid w:val="00B3521D"/>
    <w:rsid w:val="00B8686E"/>
    <w:rsid w:val="00B877FB"/>
    <w:rsid w:val="00B959FD"/>
    <w:rsid w:val="00BA1589"/>
    <w:rsid w:val="00BA407D"/>
    <w:rsid w:val="00BB7B6E"/>
    <w:rsid w:val="00BF4832"/>
    <w:rsid w:val="00C339C7"/>
    <w:rsid w:val="00C57041"/>
    <w:rsid w:val="00C72784"/>
    <w:rsid w:val="00C764CC"/>
    <w:rsid w:val="00C80C62"/>
    <w:rsid w:val="00C85889"/>
    <w:rsid w:val="00C869D6"/>
    <w:rsid w:val="00C87FAA"/>
    <w:rsid w:val="00CA0496"/>
    <w:rsid w:val="00CE6D89"/>
    <w:rsid w:val="00D00BDD"/>
    <w:rsid w:val="00D03AC5"/>
    <w:rsid w:val="00D12F4B"/>
    <w:rsid w:val="00D1425D"/>
    <w:rsid w:val="00D237E1"/>
    <w:rsid w:val="00D637B7"/>
    <w:rsid w:val="00D81468"/>
    <w:rsid w:val="00D85665"/>
    <w:rsid w:val="00D94D48"/>
    <w:rsid w:val="00DD61A7"/>
    <w:rsid w:val="00DE61C2"/>
    <w:rsid w:val="00E0434E"/>
    <w:rsid w:val="00E1320C"/>
    <w:rsid w:val="00E3494B"/>
    <w:rsid w:val="00E366F0"/>
    <w:rsid w:val="00E54B71"/>
    <w:rsid w:val="00E87D1F"/>
    <w:rsid w:val="00E87DE6"/>
    <w:rsid w:val="00F24A3E"/>
    <w:rsid w:val="00F41758"/>
    <w:rsid w:val="00F449E0"/>
    <w:rsid w:val="00F451AC"/>
    <w:rsid w:val="00F52B32"/>
    <w:rsid w:val="00F7641B"/>
    <w:rsid w:val="35DEED3D"/>
    <w:rsid w:val="36BFEDE9"/>
    <w:rsid w:val="3FA076F0"/>
    <w:rsid w:val="4D8535AB"/>
    <w:rsid w:val="4FEF2E84"/>
    <w:rsid w:val="5E7F912F"/>
    <w:rsid w:val="5EFF4924"/>
    <w:rsid w:val="6738F0B9"/>
    <w:rsid w:val="6DD94E22"/>
    <w:rsid w:val="6FFA1E56"/>
    <w:rsid w:val="7BD2A107"/>
    <w:rsid w:val="7FEF5933"/>
    <w:rsid w:val="7FFB6CF6"/>
    <w:rsid w:val="7FFE351B"/>
    <w:rsid w:val="9FEDF208"/>
    <w:rsid w:val="A7EE32A3"/>
    <w:rsid w:val="B3A7E19F"/>
    <w:rsid w:val="B3F5C9B1"/>
    <w:rsid w:val="B5ADB709"/>
    <w:rsid w:val="B97D637C"/>
    <w:rsid w:val="BB0FBA71"/>
    <w:rsid w:val="BD35D512"/>
    <w:rsid w:val="CEDC339C"/>
    <w:rsid w:val="D46EC2AC"/>
    <w:rsid w:val="DE1FFB71"/>
    <w:rsid w:val="DF8F4D12"/>
    <w:rsid w:val="EDCF0FCE"/>
    <w:rsid w:val="EE7FC4AE"/>
    <w:rsid w:val="F5F35A61"/>
    <w:rsid w:val="F6F39228"/>
    <w:rsid w:val="F9E6A9E3"/>
    <w:rsid w:val="FAFA5C10"/>
    <w:rsid w:val="FBF3C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link w:val="16"/>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 w:type="character" w:customStyle="1" w:styleId="16">
    <w:name w:val="正文文本 字符"/>
    <w:basedOn w:val="10"/>
    <w:link w:val="6"/>
    <w:semiHidden/>
    <w:qFormat/>
    <w:uiPriority w:val="0"/>
    <w:rPr>
      <w:rFonts w:ascii="仿宋_GB2312" w:hAnsi="仿宋_GB2312" w:eastAsia="仿宋_GB2312" w:cs="仿宋_GB2312"/>
      <w:snapToGrid w:val="0"/>
      <w:color w:val="000000"/>
      <w:sz w:val="31"/>
      <w:szCs w:val="31"/>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453</Words>
  <Characters>2586</Characters>
  <Lines>21</Lines>
  <Paragraphs>6</Paragraphs>
  <TotalTime>4</TotalTime>
  <ScaleCrop>false</ScaleCrop>
  <LinksUpToDate>false</LinksUpToDate>
  <CharactersWithSpaces>3033</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2024-10-21T05:12:00Z</dcterms:created>
  <dc:creator>ms</dc:creator>
  <cp:lastModifiedBy>yjj-503</cp:lastModifiedBy>
  <cp:lastPrinted>2025-10-27T10:46:20Z</cp:lastPrinted>
  <dcterms:modified xsi:type="dcterms:W3CDTF">2025-10-27T10:47:50Z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