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90" w:lineRule="auto"/>
      </w:pPr>
    </w:p>
    <w:p>
      <w:pPr>
        <w:spacing w:line="290" w:lineRule="auto"/>
        <w:rPr>
          <w:rFonts w:eastAsiaTheme="minor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上海绿溢景观工程有限公司“4·28”其他爆炸</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一般事故整改和防范措施落实情况评估报告</w:t>
      </w:r>
    </w:p>
    <w:p>
      <w:pPr>
        <w:spacing w:line="251" w:lineRule="auto"/>
        <w:rPr>
          <w:lang w:eastAsia="zh-CN"/>
        </w:rPr>
      </w:pPr>
    </w:p>
    <w:p>
      <w:pPr>
        <w:spacing w:line="251" w:lineRule="auto"/>
        <w:rPr>
          <w:lang w:eastAsia="zh-CN"/>
        </w:rPr>
      </w:pPr>
    </w:p>
    <w:p>
      <w:pPr>
        <w:pStyle w:val="6"/>
        <w:keepNext w:val="0"/>
        <w:keepLines w:val="0"/>
        <w:pageBreakBefore w:val="0"/>
        <w:wordWrap/>
        <w:overflowPunct/>
        <w:topLinePunct w:val="0"/>
        <w:bidi w:val="0"/>
        <w:spacing w:line="560" w:lineRule="exact"/>
        <w:ind w:leftChars="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2023年4月28日下午13时07分许，上海市青浦区课植园路158弄内厨房外，一名作业人员（孙网大，难，59岁，江苏人）电焊作业时引燃附近储油桶内燃料起火，过火面积约5平方米。着火过程中孙网大受灼烧致死，附近另一名作业人员（盛旭清，男，54岁，江苏人）跌倒受伤。事故造成1人死亡1人重伤。截止至目前，核定事故造成直接经济损失约为100万元。事发后，上海市青浦区应急管理局会同相关部门依法开展事故调查，形成《上海绿溢景观工程有限公司“4·28”其他爆炸一般事故调查报告》（ 以下简称事故调查报告）并报经青浦区人民政府批复同意。根据《中华人民共和国安全生产法》《生产安全事故报告和调查处理条例》《上海市实施〈生产安全事故报告和调查处理条例〉的若干规定》《生产安全事故防范和整改措施落实情况评估办法》等有关规定，青浦区应急管理局牵头会同相关部门成立评估组，于 2024 年 4 月 26 日至 6 月 20 日开展事故整改和防范措施落实情况评估，形成本评估报告。</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基本情况</w:t>
      </w:r>
    </w:p>
    <w:p>
      <w:pPr>
        <w:pStyle w:val="6"/>
        <w:keepNext w:val="0"/>
        <w:keepLines w:val="0"/>
        <w:pageBreakBefore w:val="0"/>
        <w:wordWrap/>
        <w:overflowPunct/>
        <w:topLinePunct w:val="0"/>
        <w:bidi w:val="0"/>
        <w:spacing w:line="560" w:lineRule="exact"/>
        <w:ind w:leftChars="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按照“谁牵头调查，谁组织评估”原则，上海市青浦区应急管理局会同公安青浦分局、区总工会、区消防救援支队、区检察院、朱家角镇人民政府组成上海绿溢景观工程有限公司“4·28”其他爆炸一般事故整改和防范措施落实情况评估组（以下简称评估组），委托上海欣企安全生产咨询服务有限公司及相关专家参与评估。</w:t>
      </w:r>
    </w:p>
    <w:p>
      <w:pPr>
        <w:pStyle w:val="6"/>
        <w:keepNext w:val="0"/>
        <w:keepLines w:val="0"/>
        <w:pageBreakBefore w:val="0"/>
        <w:wordWrap/>
        <w:overflowPunct/>
        <w:topLinePunct w:val="0"/>
        <w:bidi w:val="0"/>
        <w:spacing w:line="560" w:lineRule="exact"/>
        <w:ind w:leftChars="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按照“科学严谨，依法依规，实事求是，注重实效”的原则评估组对照事故调查报告及批复，听取工作汇报，查阅台账资料，通过座谈问询、走访核查事发现场，逐项核查事故相关单位责任追究、整改和防范措施落实等情况，并结合专家意见，进行了综合评估并提出工作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事故处理落实情况</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leftChars="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刑事责任追究情况</w:t>
      </w:r>
    </w:p>
    <w:p>
      <w:pPr>
        <w:pStyle w:val="6"/>
        <w:keepNext w:val="0"/>
        <w:keepLines w:val="0"/>
        <w:pageBreakBefore w:val="0"/>
        <w:wordWrap/>
        <w:overflowPunct/>
        <w:topLinePunct w:val="0"/>
        <w:bidi w:val="0"/>
        <w:spacing w:line="560" w:lineRule="exact"/>
        <w:ind w:leftChars="0" w:firstLine="640" w:firstLineChars="200"/>
        <w:jc w:val="both"/>
        <w:rPr>
          <w:rStyle w:val="12"/>
          <w:rFonts w:hint="default"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按照事故责任认定及处理建议</w:t>
      </w:r>
      <w:r>
        <w:rPr>
          <w:rStyle w:val="12"/>
          <w:rFonts w:hint="eastAsia" w:hAnsi="Calibri" w:cs="Times New Roman"/>
          <w:b w:val="0"/>
          <w:i w:val="0"/>
          <w:caps w:val="0"/>
          <w:snapToGrid/>
          <w:color w:val="000000"/>
          <w:spacing w:val="0"/>
          <w:w w:val="100"/>
          <w:kern w:val="2"/>
          <w:sz w:val="32"/>
          <w:szCs w:val="32"/>
          <w:lang w:val="en-US" w:eastAsia="zh-CN" w:bidi="ar-SA"/>
        </w:rPr>
        <w:t>，</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建议将</w:t>
      </w:r>
      <w:r>
        <w:rPr>
          <w:rStyle w:val="12"/>
          <w:rFonts w:hint="eastAsia" w:hAnsi="Calibri" w:cs="Times New Roman"/>
          <w:b w:val="0"/>
          <w:i w:val="0"/>
          <w:caps w:val="0"/>
          <w:snapToGrid/>
          <w:color w:val="000000"/>
          <w:spacing w:val="0"/>
          <w:w w:val="100"/>
          <w:kern w:val="2"/>
          <w:sz w:val="32"/>
          <w:szCs w:val="32"/>
          <w:lang w:val="en-US" w:eastAsia="zh-CN" w:bidi="ar-SA"/>
        </w:rPr>
        <w:t>上</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海绿溢景观工程有限公司总经理范春龙移送司法机关依法追究刑事责任</w:t>
      </w:r>
      <w:r>
        <w:rPr>
          <w:rStyle w:val="12"/>
          <w:rFonts w:hint="eastAsia" w:hAnsi="Calibri" w:cs="Times New Roman"/>
          <w:b w:val="0"/>
          <w:i w:val="0"/>
          <w:caps w:val="0"/>
          <w:snapToGrid/>
          <w:color w:val="000000"/>
          <w:spacing w:val="0"/>
          <w:w w:val="100"/>
          <w:kern w:val="2"/>
          <w:sz w:val="32"/>
          <w:szCs w:val="32"/>
          <w:lang w:val="en-US" w:eastAsia="zh-CN" w:bidi="ar-SA"/>
        </w:rPr>
        <w:t>，于2024年 7 月已起诉。</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leftChars="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行政处罚落实情况</w:t>
      </w:r>
    </w:p>
    <w:p>
      <w:pPr>
        <w:pStyle w:val="6"/>
        <w:keepNext w:val="0"/>
        <w:keepLines w:val="0"/>
        <w:pageBreakBefore w:val="0"/>
        <w:wordWrap/>
        <w:overflowPunct/>
        <w:topLinePunct w:val="0"/>
        <w:bidi w:val="0"/>
        <w:spacing w:line="560" w:lineRule="exact"/>
        <w:ind w:leftChars="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2023年 08 月 30 日，上海市青浦区应急管理局（以下简称区应急管理局）按照事故责任认定及处理建议，对事故责任单位上海绿溢景观工程有限公司作出罚款 40 万元</w:t>
      </w:r>
      <w:r>
        <w:rPr>
          <w:rStyle w:val="12"/>
          <w:rFonts w:hint="eastAsia" w:hAnsi="Calibri" w:cs="Times New Roman"/>
          <w:b w:val="0"/>
          <w:i w:val="0"/>
          <w:caps w:val="0"/>
          <w:snapToGrid/>
          <w:color w:val="000000"/>
          <w:spacing w:val="0"/>
          <w:w w:val="100"/>
          <w:kern w:val="2"/>
          <w:sz w:val="32"/>
          <w:szCs w:val="32"/>
          <w:lang w:val="en-US" w:eastAsia="zh-CN" w:bidi="ar-SA"/>
        </w:rPr>
        <w:t>的行政处罚决定</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w:t>
      </w:r>
    </w:p>
    <w:p>
      <w:pPr>
        <w:pStyle w:val="6"/>
        <w:keepNext w:val="0"/>
        <w:keepLines w:val="0"/>
        <w:pageBreakBefore w:val="0"/>
        <w:wordWrap/>
        <w:overflowPunct/>
        <w:topLinePunct w:val="0"/>
        <w:bidi w:val="0"/>
        <w:spacing w:line="560" w:lineRule="exact"/>
        <w:ind w:leftChars="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经核实，以上行政处罚均已执行。</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事故整改措施落实情况</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Chars="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（一）上海绿溢景观工程有限公司</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Chars="0" w:firstLine="640" w:firstLineChars="200"/>
        <w:jc w:val="both"/>
        <w:textAlignment w:val="baseline"/>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上海绿溢景观工程有限公司按照事故调查报告的整改和防范措施建议，采取了以下举措：</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Chars="0" w:firstLine="640" w:firstLineChars="200"/>
        <w:jc w:val="both"/>
        <w:textAlignment w:val="baseline"/>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hAnsi="Calibri" w:cs="Times New Roman"/>
          <w:b w:val="0"/>
          <w:i w:val="0"/>
          <w:caps w:val="0"/>
          <w:snapToGrid/>
          <w:color w:val="000000"/>
          <w:spacing w:val="0"/>
          <w:w w:val="100"/>
          <w:kern w:val="2"/>
          <w:sz w:val="32"/>
          <w:szCs w:val="32"/>
          <w:lang w:val="en-US" w:eastAsia="zh-CN" w:bidi="ar-SA"/>
        </w:rPr>
        <w:t>1、</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压实安全生产责任。细化安全生产责任书，明确各级人 员责任、任务及安全管理内容，组织全员签订并定期回顾考核。</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Chars="0" w:firstLine="640" w:firstLineChars="200"/>
        <w:jc w:val="both"/>
        <w:textAlignment w:val="baseline"/>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hAnsi="Calibri" w:cs="Times New Roman"/>
          <w:b w:val="0"/>
          <w:i w:val="0"/>
          <w:caps w:val="0"/>
          <w:snapToGrid/>
          <w:color w:val="000000"/>
          <w:spacing w:val="0"/>
          <w:w w:val="100"/>
          <w:kern w:val="2"/>
          <w:sz w:val="32"/>
          <w:szCs w:val="32"/>
          <w:lang w:val="en-US" w:eastAsia="zh-CN" w:bidi="ar-SA"/>
        </w:rPr>
        <w:t>2、</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严格执行安全管理规定</w:t>
      </w:r>
      <w:r>
        <w:rPr>
          <w:rStyle w:val="12"/>
          <w:rFonts w:hint="eastAsia" w:hAnsi="Calibri" w:cs="Times New Roman"/>
          <w:b w:val="0"/>
          <w:i w:val="0"/>
          <w:caps w:val="0"/>
          <w:snapToGrid/>
          <w:color w:val="000000"/>
          <w:spacing w:val="0"/>
          <w:w w:val="100"/>
          <w:kern w:val="2"/>
          <w:sz w:val="32"/>
          <w:szCs w:val="32"/>
          <w:lang w:val="en-US" w:eastAsia="zh-CN" w:bidi="ar-SA"/>
        </w:rPr>
        <w:t>，</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针对特殊作业</w:t>
      </w:r>
      <w:r>
        <w:rPr>
          <w:rStyle w:val="12"/>
          <w:rFonts w:hint="eastAsia" w:hAnsi="Calibri" w:cs="Times New Roman"/>
          <w:b w:val="0"/>
          <w:i w:val="0"/>
          <w:caps w:val="0"/>
          <w:snapToGrid/>
          <w:color w:val="000000"/>
          <w:spacing w:val="0"/>
          <w:w w:val="100"/>
          <w:kern w:val="2"/>
          <w:sz w:val="32"/>
          <w:szCs w:val="32"/>
          <w:lang w:val="en-US" w:eastAsia="zh-CN" w:bidi="ar-SA"/>
        </w:rPr>
        <w:t>，</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编制了特殊作业管理制度，并组织培训交底，开展作业风险辨识。落实作业前实名教育及确认、持证情况检查、管理人员现场确认、张挂标识等措施。加强现场监督流程管理。</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Chars="0" w:firstLine="640" w:firstLineChars="200"/>
        <w:jc w:val="both"/>
        <w:textAlignment w:val="baseline"/>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hAnsi="Calibri" w:cs="Times New Roman"/>
          <w:b w:val="0"/>
          <w:i w:val="0"/>
          <w:caps w:val="0"/>
          <w:snapToGrid/>
          <w:color w:val="000000"/>
          <w:spacing w:val="0"/>
          <w:w w:val="100"/>
          <w:kern w:val="2"/>
          <w:sz w:val="32"/>
          <w:szCs w:val="32"/>
          <w:lang w:val="en-US" w:eastAsia="zh-CN" w:bidi="ar-SA"/>
        </w:rPr>
        <w:t>3、</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强化隐患排查及整改闭环。开展特殊作业专项安全整治、举一反三工作，排查承包队伍劳防用品穿戴情况。各层实施定期安全检查巡查、特殊时间及安全双项检查。</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Chars="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（二）朱家角镇</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Chars="0" w:firstLine="640" w:firstLineChars="200"/>
        <w:jc w:val="both"/>
        <w:textAlignment w:val="baseline"/>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hAnsi="Calibri" w:cs="Times New Roman"/>
          <w:b w:val="0"/>
          <w:i w:val="0"/>
          <w:caps w:val="0"/>
          <w:snapToGrid/>
          <w:color w:val="000000"/>
          <w:spacing w:val="0"/>
          <w:w w:val="100"/>
          <w:kern w:val="2"/>
          <w:sz w:val="32"/>
          <w:szCs w:val="32"/>
          <w:lang w:val="en-US" w:eastAsia="zh-CN" w:bidi="ar-SA"/>
        </w:rPr>
        <w:t>1、</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立即发动组织各村居、镇属企业等开展安全生产和消防安全大检查活动，镇党政班子成员带队相关职能部门深入企业、景区、工地、小区等各行业领域，开展安全生产工作的督导检查.</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Chars="0" w:firstLine="640" w:firstLineChars="200"/>
        <w:jc w:val="both"/>
        <w:textAlignment w:val="baseline"/>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hAnsi="Calibri" w:cs="Times New Roman"/>
          <w:b w:val="0"/>
          <w:i w:val="0"/>
          <w:caps w:val="0"/>
          <w:snapToGrid/>
          <w:color w:val="000000"/>
          <w:spacing w:val="0"/>
          <w:w w:val="100"/>
          <w:kern w:val="2"/>
          <w:sz w:val="32"/>
          <w:szCs w:val="32"/>
          <w:lang w:val="en-US" w:eastAsia="zh-CN" w:bidi="ar-SA"/>
        </w:rPr>
        <w:t>2、</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集中开展了针对维护、维修、装修、施工、电焊类情况的排摸整治行动，加强动态巡查检查力度:加大了对使用液体燃料的单位安全监管，均已要求相关单位提供该液体的安全技术使用说明书和该燃料的供货商的营业执照，并且要求储存燃料的场所张贴严禁烟火警示标志和配备消防灭火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四、评估结论</w:t>
      </w:r>
    </w:p>
    <w:p>
      <w:pPr>
        <w:pStyle w:val="6"/>
        <w:keepNext w:val="0"/>
        <w:keepLines w:val="0"/>
        <w:pageBreakBefore w:val="0"/>
        <w:wordWrap/>
        <w:overflowPunct/>
        <w:topLinePunct w:val="0"/>
        <w:bidi w:val="0"/>
        <w:spacing w:line="560" w:lineRule="exact"/>
        <w:ind w:leftChars="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评估组按照事故调查报告及其批复要求，经资料审查、现场核查、专业评查，对该起事故处理、整改和防范措施落实情况进 行综合评估后认为：</w:t>
      </w:r>
    </w:p>
    <w:p>
      <w:pPr>
        <w:pStyle w:val="6"/>
        <w:keepNext w:val="0"/>
        <w:keepLines w:val="0"/>
        <w:pageBreakBefore w:val="0"/>
        <w:wordWrap/>
        <w:overflowPunct/>
        <w:topLinePunct w:val="0"/>
        <w:bidi w:val="0"/>
        <w:spacing w:line="560" w:lineRule="exact"/>
        <w:ind w:leftChars="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（一）上海绿溢景观工程有限公司已对该起事故责任单位及责任人、存在其 他违法行为的单位及人员作出行政处罚。</w:t>
      </w:r>
    </w:p>
    <w:p>
      <w:pPr>
        <w:pStyle w:val="6"/>
        <w:keepNext w:val="0"/>
        <w:keepLines w:val="0"/>
        <w:pageBreakBefore w:val="0"/>
        <w:wordWrap/>
        <w:overflowPunct/>
        <w:topLinePunct w:val="0"/>
        <w:bidi w:val="0"/>
        <w:spacing w:line="560" w:lineRule="exact"/>
        <w:ind w:leftChars="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（二）相关单位及人员已履行行政处罚决定；相关单位对起事故责任人的处理已落实。</w:t>
      </w:r>
    </w:p>
    <w:p>
      <w:pPr>
        <w:pStyle w:val="6"/>
        <w:keepNext w:val="0"/>
        <w:keepLines w:val="0"/>
        <w:pageBreakBefore w:val="0"/>
        <w:wordWrap/>
        <w:overflowPunct/>
        <w:topLinePunct w:val="0"/>
        <w:bidi w:val="0"/>
        <w:spacing w:line="560" w:lineRule="exact"/>
        <w:ind w:leftChars="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（三）该起事故相关单位、属地政府及相关部门已实施事故 调查报告提出的整改和防范措施。</w:t>
      </w:r>
    </w:p>
    <w:p>
      <w:pPr>
        <w:pStyle w:val="6"/>
        <w:keepNext w:val="0"/>
        <w:keepLines w:val="0"/>
        <w:pageBreakBefore w:val="0"/>
        <w:wordWrap/>
        <w:overflowPunct/>
        <w:topLinePunct w:val="0"/>
        <w:bidi w:val="0"/>
        <w:spacing w:line="560" w:lineRule="exact"/>
        <w:ind w:leftChars="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综上，该起事故处理已全部落实，事故整改措施已全部落实。</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五、工作建议</w:t>
      </w:r>
    </w:p>
    <w:p>
      <w:pPr>
        <w:pStyle w:val="6"/>
        <w:keepNext w:val="0"/>
        <w:keepLines w:val="0"/>
        <w:pageBreakBefore w:val="0"/>
        <w:wordWrap/>
        <w:overflowPunct/>
        <w:topLinePunct w:val="0"/>
        <w:bidi w:val="0"/>
        <w:spacing w:line="560" w:lineRule="exact"/>
        <w:ind w:leftChars="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（一）建议上海绿溢景观工程有限公司继续严格落实和抓实安全生产责任制，并定期进行安全生产责任制和责任目标的考核。切实做好作业人员的安全培训教育工作，加强现场安全监督管理工作。</w:t>
      </w:r>
    </w:p>
    <w:p>
      <w:pPr>
        <w:pStyle w:val="6"/>
        <w:keepNext w:val="0"/>
        <w:keepLines w:val="0"/>
        <w:pageBreakBefore w:val="0"/>
        <w:wordWrap/>
        <w:overflowPunct/>
        <w:topLinePunct w:val="0"/>
        <w:bidi w:val="0"/>
        <w:spacing w:line="560" w:lineRule="exact"/>
        <w:ind w:leftChars="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二）建议上海绿溢景观工程有限公司与协作单位签署安全管理协议，明确双方安全管理职责和范围。同时周期性评定和考核协作单位安全绩效，对安全管理存在的问题，及时予以指出和指正，督促协作单位落实安全生产责任制。</w:t>
      </w:r>
    </w:p>
    <w:p>
      <w:pPr>
        <w:pStyle w:val="6"/>
        <w:keepNext w:val="0"/>
        <w:keepLines w:val="0"/>
        <w:pageBreakBefore w:val="0"/>
        <w:wordWrap/>
        <w:overflowPunct/>
        <w:topLinePunct w:val="0"/>
        <w:bidi w:val="0"/>
        <w:spacing w:line="560" w:lineRule="exact"/>
        <w:ind w:leftChars="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三）建议上海绿溢景观工程有限公司切实做好作业人员的安全培训教育工作并做好记录，加强现场安全管理工作，严格要求作业人员严格执行安全规章制度及操作规程，不断提高人员的安全意识和制止不安全行为的发生，确保作业过程安全可靠，谨防事故发生。</w:t>
      </w:r>
    </w:p>
    <w:p>
      <w:pPr>
        <w:pStyle w:val="6"/>
        <w:keepNext w:val="0"/>
        <w:keepLines w:val="0"/>
        <w:pageBreakBefore w:val="0"/>
        <w:wordWrap/>
        <w:overflowPunct/>
        <w:topLinePunct w:val="0"/>
        <w:bidi w:val="0"/>
        <w:spacing w:line="560" w:lineRule="exact"/>
        <w:ind w:leftChars="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四）建议上海绿溢景观工程有限公司加强高危（特殊）作业安全管理及审批制度工作的落实，危作业许可工作及作业过程中的安全巡查机制，及时发现并消除不安全行为和不安全状态，及时发现并制止生产作业过程中的动态不安全隐患，早发现早预防。</w:t>
      </w:r>
    </w:p>
    <w:p>
      <w:pPr>
        <w:keepNext w:val="0"/>
        <w:keepLines w:val="0"/>
        <w:pageBreakBefore w:val="0"/>
        <w:wordWrap/>
        <w:overflowPunct/>
        <w:topLinePunct w:val="0"/>
        <w:bidi w:val="0"/>
        <w:spacing w:line="560" w:lineRule="exact"/>
        <w:ind w:leftChars="0" w:firstLine="420" w:firstLineChars="200"/>
        <w:rPr>
          <w:lang w:eastAsia="zh-CN"/>
        </w:rPr>
      </w:pPr>
    </w:p>
    <w:p>
      <w:pPr>
        <w:pStyle w:val="2"/>
        <w:rPr>
          <w:lang w:eastAsia="zh-CN"/>
        </w:rPr>
      </w:pPr>
    </w:p>
    <w:p>
      <w:pPr>
        <w:pStyle w:val="3"/>
        <w:rPr>
          <w:lang w:eastAsia="zh-CN"/>
        </w:rPr>
      </w:pPr>
    </w:p>
    <w:p>
      <w:pPr>
        <w:spacing w:line="258" w:lineRule="auto"/>
        <w:rPr>
          <w:rFonts w:hint="eastAsia"/>
          <w:lang w:eastAsia="zh-CN"/>
        </w:rPr>
      </w:pPr>
    </w:p>
    <w:p>
      <w:pPr>
        <w:pStyle w:val="6"/>
        <w:spacing w:before="101" w:line="319" w:lineRule="auto"/>
        <w:ind w:firstLine="648"/>
        <w:jc w:val="right"/>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上海绿溢景观工程有限公司“4 ·28”其他爆炸</w:t>
      </w:r>
    </w:p>
    <w:p>
      <w:pPr>
        <w:pStyle w:val="6"/>
        <w:spacing w:before="101" w:line="319" w:lineRule="auto"/>
        <w:ind w:firstLine="648"/>
        <w:jc w:val="right"/>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一般事故整改和防范措施情况评估组</w:t>
      </w:r>
    </w:p>
    <w:p>
      <w:pPr>
        <w:pStyle w:val="6"/>
        <w:spacing w:before="101" w:line="319" w:lineRule="auto"/>
        <w:ind w:firstLine="648"/>
        <w:jc w:val="right"/>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 xml:space="preserve">2024 年 </w:t>
      </w:r>
      <w:r>
        <w:rPr>
          <w:rStyle w:val="12"/>
          <w:rFonts w:hint="eastAsia" w:hAnsi="Calibri" w:cs="Times New Roman"/>
          <w:b w:val="0"/>
          <w:i w:val="0"/>
          <w:caps w:val="0"/>
          <w:snapToGrid/>
          <w:color w:val="000000"/>
          <w:spacing w:val="0"/>
          <w:w w:val="100"/>
          <w:kern w:val="2"/>
          <w:sz w:val="32"/>
          <w:szCs w:val="32"/>
          <w:lang w:val="en-US" w:eastAsia="zh-CN" w:bidi="ar-SA"/>
        </w:rPr>
        <w:t>6</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月 2</w:t>
      </w:r>
      <w:r>
        <w:rPr>
          <w:rStyle w:val="12"/>
          <w:rFonts w:hint="eastAsia" w:hAnsi="Calibri" w:cs="Times New Roman"/>
          <w:b w:val="0"/>
          <w:i w:val="0"/>
          <w:caps w:val="0"/>
          <w:snapToGrid/>
          <w:color w:val="000000"/>
          <w:spacing w:val="0"/>
          <w:w w:val="100"/>
          <w:kern w:val="2"/>
          <w:sz w:val="32"/>
          <w:szCs w:val="32"/>
          <w:lang w:val="en-US" w:eastAsia="zh-CN" w:bidi="ar-SA"/>
        </w:rPr>
        <w:t>0</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 xml:space="preserve"> 日</w:t>
      </w:r>
    </w:p>
    <w:sectPr>
      <w:headerReference r:id="rId3" w:type="default"/>
      <w:footerReference r:id="rId4" w:type="default"/>
      <w:pgSz w:w="11906" w:h="16839"/>
      <w:pgMar w:top="1431" w:right="1381" w:bottom="1310" w:left="1596" w:header="0" w:footer="102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00"/>
    <w:family w:val="auto"/>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bookmarkStart w:id="0" w:name="_GoBack"/>
    <w:bookmarkEnd w:id="0"/>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E8CD1"/>
    <w:multiLevelType w:val="singleLevel"/>
    <w:tmpl w:val="B27E8CD1"/>
    <w:lvl w:ilvl="0" w:tentative="0">
      <w:start w:val="1"/>
      <w:numFmt w:val="chineseCounting"/>
      <w:suff w:val="nothing"/>
      <w:lvlText w:val="%1、"/>
      <w:lvlJc w:val="left"/>
      <w:pPr>
        <w:ind w:left="600" w:firstLine="0"/>
      </w:pPr>
      <w:rPr>
        <w:rFonts w:hint="eastAsia"/>
      </w:rPr>
    </w:lvl>
  </w:abstractNum>
  <w:abstractNum w:abstractNumId="1">
    <w:nsid w:val="D7B7CA39"/>
    <w:multiLevelType w:val="singleLevel"/>
    <w:tmpl w:val="D7B7CA39"/>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jZjRhZGFhNTU0MzU5ZDI2ZTVmZmJkZjY2M2QxYjQifQ=="/>
  </w:docVars>
  <w:rsids>
    <w:rsidRoot w:val="00C869D6"/>
    <w:rsid w:val="00033843"/>
    <w:rsid w:val="000C1ADB"/>
    <w:rsid w:val="000D1332"/>
    <w:rsid w:val="000F0079"/>
    <w:rsid w:val="001128EA"/>
    <w:rsid w:val="00136FF6"/>
    <w:rsid w:val="00166A17"/>
    <w:rsid w:val="001C58BC"/>
    <w:rsid w:val="00215989"/>
    <w:rsid w:val="002172BB"/>
    <w:rsid w:val="00232F7F"/>
    <w:rsid w:val="002334BA"/>
    <w:rsid w:val="002B18AB"/>
    <w:rsid w:val="002B23E2"/>
    <w:rsid w:val="00307C25"/>
    <w:rsid w:val="003E3EEA"/>
    <w:rsid w:val="003E7CA8"/>
    <w:rsid w:val="00441B51"/>
    <w:rsid w:val="004851EA"/>
    <w:rsid w:val="004930F4"/>
    <w:rsid w:val="004C2CDA"/>
    <w:rsid w:val="00550B57"/>
    <w:rsid w:val="0056251C"/>
    <w:rsid w:val="0058492E"/>
    <w:rsid w:val="005E4C43"/>
    <w:rsid w:val="00602760"/>
    <w:rsid w:val="006A58C8"/>
    <w:rsid w:val="006C2780"/>
    <w:rsid w:val="007D58A2"/>
    <w:rsid w:val="008422C4"/>
    <w:rsid w:val="00953491"/>
    <w:rsid w:val="0096514A"/>
    <w:rsid w:val="00966773"/>
    <w:rsid w:val="00A2572B"/>
    <w:rsid w:val="00A67385"/>
    <w:rsid w:val="00AA0C47"/>
    <w:rsid w:val="00B7038B"/>
    <w:rsid w:val="00C57041"/>
    <w:rsid w:val="00C80C62"/>
    <w:rsid w:val="00C869D6"/>
    <w:rsid w:val="00CA0496"/>
    <w:rsid w:val="00CE6D89"/>
    <w:rsid w:val="00D12F4B"/>
    <w:rsid w:val="00D237E1"/>
    <w:rsid w:val="00DE61C2"/>
    <w:rsid w:val="00E3494B"/>
    <w:rsid w:val="00E54B71"/>
    <w:rsid w:val="00E87D1F"/>
    <w:rsid w:val="00E87DE6"/>
    <w:rsid w:val="00F449E0"/>
    <w:rsid w:val="00F451AC"/>
    <w:rsid w:val="00F52B32"/>
    <w:rsid w:val="1BF7F74F"/>
    <w:rsid w:val="327A0F72"/>
    <w:rsid w:val="3BF7A815"/>
    <w:rsid w:val="3DAF186E"/>
    <w:rsid w:val="3F3AC68E"/>
    <w:rsid w:val="3FA076F0"/>
    <w:rsid w:val="4F3F8C91"/>
    <w:rsid w:val="5A8D4266"/>
    <w:rsid w:val="69CFCD21"/>
    <w:rsid w:val="6DDE8005"/>
    <w:rsid w:val="717A6931"/>
    <w:rsid w:val="726569BA"/>
    <w:rsid w:val="74F74CA0"/>
    <w:rsid w:val="77FDB2CC"/>
    <w:rsid w:val="79A97313"/>
    <w:rsid w:val="7BDCB6FA"/>
    <w:rsid w:val="7D9F5EF5"/>
    <w:rsid w:val="7E7FC6B9"/>
    <w:rsid w:val="7FDDF562"/>
    <w:rsid w:val="95CFCF7F"/>
    <w:rsid w:val="B5EEBF5E"/>
    <w:rsid w:val="BFD7D5C2"/>
    <w:rsid w:val="DFA60646"/>
    <w:rsid w:val="DFB97783"/>
    <w:rsid w:val="ECFD5388"/>
    <w:rsid w:val="EE7C36A5"/>
    <w:rsid w:val="F6FC75E2"/>
    <w:rsid w:val="FDF91EE7"/>
    <w:rsid w:val="FF773C09"/>
    <w:rsid w:val="FF9EED19"/>
    <w:rsid w:val="FFAF6452"/>
    <w:rsid w:val="FFB5A2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2"/>
    <w:basedOn w:val="1"/>
    <w:next w:val="3"/>
    <w:qFormat/>
    <w:uiPriority w:val="0"/>
    <w:pPr>
      <w:jc w:val="right"/>
    </w:pPr>
    <w:rPr>
      <w:rFonts w:ascii="黑体" w:eastAsia="黑体"/>
      <w:sz w:val="44"/>
    </w:rPr>
  </w:style>
  <w:style w:type="paragraph" w:styleId="3">
    <w:name w:val="Body Text First Indent 2"/>
    <w:basedOn w:val="4"/>
    <w:next w:val="1"/>
    <w:unhideWhenUsed/>
    <w:qFormat/>
    <w:uiPriority w:val="0"/>
    <w:pPr>
      <w:spacing w:after="120"/>
      <w:ind w:left="420" w:leftChars="200" w:firstLine="420" w:firstLineChars="200"/>
    </w:pPr>
    <w:rPr>
      <w:rFonts w:hint="default" w:ascii="Calibri" w:hAnsi="Calibri" w:eastAsia="宋体" w:cs="Times New Roman"/>
      <w:sz w:val="21"/>
    </w:rPr>
  </w:style>
  <w:style w:type="paragraph" w:styleId="4">
    <w:name w:val="Body Text Indent"/>
    <w:basedOn w:val="1"/>
    <w:next w:val="5"/>
    <w:qFormat/>
    <w:uiPriority w:val="0"/>
    <w:pPr>
      <w:ind w:leftChars="100"/>
    </w:pPr>
    <w:rPr>
      <w:rFonts w:hint="eastAsia" w:ascii="宋体" w:hAnsi="宋体" w:eastAsia="宋体"/>
      <w:sz w:val="28"/>
      <w:szCs w:val="24"/>
    </w:rPr>
  </w:style>
  <w:style w:type="paragraph" w:styleId="5">
    <w:name w:val="Normal Indent"/>
    <w:basedOn w:val="1"/>
    <w:next w:val="1"/>
    <w:qFormat/>
    <w:uiPriority w:val="0"/>
    <w:pPr>
      <w:ind w:firstLine="420" w:firstLineChars="200"/>
    </w:pPr>
    <w:rPr>
      <w:rFonts w:ascii="Times New Roman" w:hAnsi="Times New Roman" w:eastAsia="仿宋" w:cs="Times New Roman"/>
      <w:sz w:val="32"/>
    </w:rPr>
  </w:style>
  <w:style w:type="paragraph" w:styleId="6">
    <w:name w:val="Body Text"/>
    <w:basedOn w:val="1"/>
    <w:semiHidden/>
    <w:qFormat/>
    <w:uiPriority w:val="0"/>
    <w:rPr>
      <w:rFonts w:ascii="仿宋_GB2312" w:hAnsi="仿宋_GB2312" w:eastAsia="仿宋_GB2312" w:cs="仿宋_GB2312"/>
      <w:sz w:val="31"/>
      <w:szCs w:val="31"/>
    </w:rPr>
  </w:style>
  <w:style w:type="paragraph" w:styleId="7">
    <w:name w:val="footer"/>
    <w:basedOn w:val="1"/>
    <w:link w:val="15"/>
    <w:qFormat/>
    <w:uiPriority w:val="0"/>
    <w:pPr>
      <w:tabs>
        <w:tab w:val="center" w:pos="4153"/>
        <w:tab w:val="right" w:pos="8306"/>
      </w:tabs>
    </w:pPr>
    <w:rPr>
      <w:sz w:val="18"/>
      <w:szCs w:val="18"/>
    </w:rPr>
  </w:style>
  <w:style w:type="paragraph" w:styleId="8">
    <w:name w:val="header"/>
    <w:basedOn w:val="1"/>
    <w:link w:val="14"/>
    <w:qFormat/>
    <w:uiPriority w:val="0"/>
    <w:pPr>
      <w:tabs>
        <w:tab w:val="center" w:pos="4153"/>
        <w:tab w:val="right" w:pos="8306"/>
      </w:tabs>
      <w:jc w:val="center"/>
    </w:pPr>
    <w:rPr>
      <w:sz w:val="18"/>
      <w:szCs w:val="18"/>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NormalCharacter"/>
    <w:qFormat/>
    <w:uiPriority w:val="0"/>
  </w:style>
  <w:style w:type="paragraph" w:styleId="13">
    <w:name w:val="List Paragraph"/>
    <w:basedOn w:val="1"/>
    <w:unhideWhenUsed/>
    <w:qFormat/>
    <w:uiPriority w:val="99"/>
    <w:pPr>
      <w:ind w:firstLine="420" w:firstLineChars="200"/>
    </w:pPr>
  </w:style>
  <w:style w:type="character" w:customStyle="1" w:styleId="14">
    <w:name w:val="页眉 字符"/>
    <w:basedOn w:val="10"/>
    <w:link w:val="8"/>
    <w:qFormat/>
    <w:uiPriority w:val="0"/>
    <w:rPr>
      <w:rFonts w:eastAsia="Arial"/>
      <w:snapToGrid w:val="0"/>
      <w:color w:val="000000"/>
      <w:sz w:val="18"/>
      <w:szCs w:val="18"/>
      <w:lang w:eastAsia="en-US"/>
    </w:rPr>
  </w:style>
  <w:style w:type="character" w:customStyle="1" w:styleId="15">
    <w:name w:val="页脚 字符"/>
    <w:basedOn w:val="10"/>
    <w:link w:val="7"/>
    <w:qFormat/>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325</Words>
  <Characters>1853</Characters>
  <Lines>15</Lines>
  <Paragraphs>4</Paragraphs>
  <TotalTime>11</TotalTime>
  <ScaleCrop>false</ScaleCrop>
  <LinksUpToDate>false</LinksUpToDate>
  <CharactersWithSpaces>2174</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2024-10-19T08:29:00Z</dcterms:created>
  <dc:creator>ms</dc:creator>
  <cp:lastModifiedBy>yjj-503</cp:lastModifiedBy>
  <cp:lastPrinted>2024-11-05T17:50:00Z</cp:lastPrinted>
  <dcterms:modified xsi:type="dcterms:W3CDTF">2024-11-11T09:35:33Z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2024-10-08T14:12:57Z</vt:filetime>
  </property>
  <property fmtid="{D5CDD505-2E9C-101B-9397-08002B2CF9AE}" pid="4" name="KSOProductBuildVer">
    <vt:lpwstr>2052-11.8.2.10251</vt:lpwstr>
  </property>
  <property fmtid="{D5CDD505-2E9C-101B-9397-08002B2CF9AE}" pid="5" name="ICV">
    <vt:lpwstr>470CCB2971BE4280A4FBD44C2BD2C97D_12</vt:lpwstr>
  </property>
</Properties>
</file>